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56326" w14:textId="77777777" w:rsidR="00310BF9" w:rsidRDefault="00310BF9" w:rsidP="000C57F0">
      <w:pPr>
        <w:tabs>
          <w:tab w:val="right" w:pos="9066"/>
        </w:tabs>
        <w:jc w:val="center"/>
        <w:rPr>
          <w:b/>
        </w:rPr>
      </w:pPr>
    </w:p>
    <w:p w14:paraId="5D396CB0" w14:textId="23A00AE4" w:rsidR="000C57F0" w:rsidRDefault="000C57F0" w:rsidP="000C57F0">
      <w:pPr>
        <w:tabs>
          <w:tab w:val="right" w:pos="9066"/>
        </w:tabs>
        <w:jc w:val="center"/>
        <w:rPr>
          <w:b/>
        </w:rPr>
      </w:pPr>
      <w:r w:rsidRPr="000C57F0">
        <w:rPr>
          <w:b/>
        </w:rPr>
        <w:t>Seminarankündigung</w:t>
      </w:r>
      <w:r w:rsidR="001B0CF1">
        <w:rPr>
          <w:b/>
        </w:rPr>
        <w:t xml:space="preserve"> Wintersemester 20</w:t>
      </w:r>
      <w:r w:rsidR="002158B3">
        <w:rPr>
          <w:b/>
        </w:rPr>
        <w:t>22</w:t>
      </w:r>
      <w:r w:rsidR="001B0CF1">
        <w:rPr>
          <w:b/>
        </w:rPr>
        <w:t>/</w:t>
      </w:r>
      <w:r w:rsidR="002158B3">
        <w:rPr>
          <w:b/>
        </w:rPr>
        <w:t>23</w:t>
      </w:r>
    </w:p>
    <w:p w14:paraId="02C94D7C" w14:textId="77777777" w:rsidR="001B0CF1" w:rsidRDefault="001B0CF1" w:rsidP="001B0CF1">
      <w:pPr>
        <w:tabs>
          <w:tab w:val="right" w:pos="9066"/>
        </w:tabs>
        <w:rPr>
          <w:b/>
        </w:rPr>
      </w:pPr>
    </w:p>
    <w:p w14:paraId="019A4B43" w14:textId="77777777" w:rsidR="00F04D57" w:rsidRDefault="00F04D57" w:rsidP="001B0CF1">
      <w:pPr>
        <w:tabs>
          <w:tab w:val="right" w:pos="9066"/>
        </w:tabs>
      </w:pPr>
    </w:p>
    <w:p w14:paraId="7FAE372E" w14:textId="0DE0BC09" w:rsidR="001B0CF1" w:rsidRPr="001B0CF1" w:rsidRDefault="001B0CF1" w:rsidP="001B0CF1">
      <w:pPr>
        <w:tabs>
          <w:tab w:val="right" w:pos="9066"/>
        </w:tabs>
      </w:pPr>
      <w:r w:rsidRPr="001B0CF1">
        <w:t>Im kommenden Wintersemester wird Herr Prof. Dr. Uhle</w:t>
      </w:r>
      <w:r>
        <w:t xml:space="preserve"> </w:t>
      </w:r>
      <w:r w:rsidR="002158B3">
        <w:t xml:space="preserve">ein Seminar </w:t>
      </w:r>
      <w:r w:rsidRPr="001B0CF1">
        <w:t>zum SPB 1 sowie SPB 2 ein Seminar mit dem Thema</w:t>
      </w:r>
    </w:p>
    <w:p w14:paraId="78F3BF75" w14:textId="77777777" w:rsidR="00310BF9" w:rsidRDefault="00310BF9" w:rsidP="001B0CF1">
      <w:pPr>
        <w:tabs>
          <w:tab w:val="right" w:pos="9066"/>
        </w:tabs>
      </w:pPr>
    </w:p>
    <w:p w14:paraId="3A04E56A" w14:textId="77777777" w:rsidR="00310BF9" w:rsidRDefault="00310BF9" w:rsidP="000C57F0">
      <w:pPr>
        <w:tabs>
          <w:tab w:val="right" w:pos="9066"/>
        </w:tabs>
        <w:jc w:val="center"/>
      </w:pPr>
    </w:p>
    <w:p w14:paraId="68E1DB5D" w14:textId="77777777" w:rsidR="000C57F0" w:rsidRPr="001B0CF1" w:rsidRDefault="000C57F0" w:rsidP="00F04D57">
      <w:pPr>
        <w:tabs>
          <w:tab w:val="right" w:pos="9066"/>
        </w:tabs>
        <w:jc w:val="center"/>
        <w:rPr>
          <w:b/>
        </w:rPr>
      </w:pPr>
      <w:r w:rsidRPr="001B0CF1">
        <w:rPr>
          <w:b/>
        </w:rPr>
        <w:t>„Religionen und Religionsgemeinschaften im freiheitlichen Verfassungsstaat“</w:t>
      </w:r>
    </w:p>
    <w:p w14:paraId="3BA9600B" w14:textId="77777777" w:rsidR="000C57F0" w:rsidRDefault="000C57F0" w:rsidP="000C57F0">
      <w:pPr>
        <w:tabs>
          <w:tab w:val="right" w:pos="9066"/>
        </w:tabs>
        <w:jc w:val="center"/>
      </w:pPr>
    </w:p>
    <w:p w14:paraId="6BD656FE" w14:textId="77777777" w:rsidR="00310BF9" w:rsidRDefault="00310BF9" w:rsidP="000C57F0">
      <w:pPr>
        <w:tabs>
          <w:tab w:val="right" w:pos="9066"/>
        </w:tabs>
      </w:pPr>
    </w:p>
    <w:p w14:paraId="7CBC643F" w14:textId="5A539FCE" w:rsidR="001A30F2" w:rsidRDefault="002158B3" w:rsidP="00F04D57">
      <w:pPr>
        <w:tabs>
          <w:tab w:val="right" w:pos="9066"/>
        </w:tabs>
      </w:pPr>
      <w:r>
        <w:t>anbi</w:t>
      </w:r>
      <w:r w:rsidR="00F04D57">
        <w:t>e</w:t>
      </w:r>
      <w:r>
        <w:t>ten</w:t>
      </w:r>
      <w:r w:rsidR="000C57F0">
        <w:t>.</w:t>
      </w:r>
      <w:r w:rsidR="001A30F2">
        <w:t xml:space="preserve"> Das Seminar wird während der Vorlesungszeit des Wintersemesters als </w:t>
      </w:r>
      <w:r w:rsidR="001A30F2" w:rsidRPr="001A30F2">
        <w:rPr>
          <w:b/>
        </w:rPr>
        <w:t>Blockseminar</w:t>
      </w:r>
      <w:r w:rsidR="001A30F2">
        <w:t xml:space="preserve"> im Rahmen der Veranstaltungsreihe „Leipziger Seminare zum Staatsrecht“ durchgeführt. </w:t>
      </w:r>
    </w:p>
    <w:p w14:paraId="7AD3FDA1" w14:textId="302E5695" w:rsidR="001A30F2" w:rsidRDefault="001A30F2" w:rsidP="001B0CF1">
      <w:pPr>
        <w:tabs>
          <w:tab w:val="right" w:pos="9066"/>
        </w:tabs>
      </w:pPr>
    </w:p>
    <w:p w14:paraId="18D435AD" w14:textId="31B60D70" w:rsidR="000C57F0" w:rsidRDefault="000C57F0" w:rsidP="001B0CF1">
      <w:pPr>
        <w:tabs>
          <w:tab w:val="right" w:pos="9066"/>
        </w:tabs>
      </w:pPr>
      <w:r>
        <w:t xml:space="preserve"> Zur Auswahl stehen folgende Themen: </w:t>
      </w:r>
    </w:p>
    <w:p w14:paraId="201BFACD" w14:textId="77777777" w:rsidR="000C57F0" w:rsidRDefault="000C57F0" w:rsidP="000C57F0">
      <w:pPr>
        <w:tabs>
          <w:tab w:val="right" w:pos="9066"/>
        </w:tabs>
      </w:pPr>
    </w:p>
    <w:p w14:paraId="7387C985" w14:textId="77777777" w:rsidR="00F04D57" w:rsidRDefault="00F04D57" w:rsidP="000C57F0">
      <w:pPr>
        <w:tabs>
          <w:tab w:val="right" w:pos="9066"/>
        </w:tabs>
        <w:rPr>
          <w:i/>
        </w:rPr>
      </w:pPr>
    </w:p>
    <w:p w14:paraId="528460DE" w14:textId="17460057" w:rsidR="000C57F0" w:rsidRDefault="000C57F0" w:rsidP="000C57F0">
      <w:pPr>
        <w:tabs>
          <w:tab w:val="right" w:pos="9066"/>
        </w:tabs>
        <w:rPr>
          <w:i/>
        </w:rPr>
      </w:pPr>
      <w:r>
        <w:rPr>
          <w:i/>
        </w:rPr>
        <w:t>I. Teil: Grundlagen</w:t>
      </w:r>
    </w:p>
    <w:p w14:paraId="3B84FF3D" w14:textId="77777777" w:rsidR="00310BF9" w:rsidRDefault="00310BF9" w:rsidP="000C57F0">
      <w:pPr>
        <w:tabs>
          <w:tab w:val="right" w:pos="9066"/>
        </w:tabs>
      </w:pPr>
    </w:p>
    <w:p w14:paraId="784091C9" w14:textId="77777777" w:rsidR="000C57F0" w:rsidRDefault="000C57F0" w:rsidP="000C57F0">
      <w:pPr>
        <w:tabs>
          <w:tab w:val="right" w:pos="9066"/>
        </w:tabs>
      </w:pPr>
      <w:r>
        <w:t>1. Begriffliche Klärungen: Staatskirchen- oder Religionsverfassungsrecht?</w:t>
      </w:r>
    </w:p>
    <w:p w14:paraId="6025C8EC" w14:textId="77777777" w:rsidR="000C57F0" w:rsidRDefault="000C57F0" w:rsidP="000C57F0">
      <w:pPr>
        <w:tabs>
          <w:tab w:val="right" w:pos="9066"/>
        </w:tabs>
      </w:pPr>
      <w:r>
        <w:t>2. Die geschichtlichen Grundlagen des Staatskirchenrechts</w:t>
      </w:r>
    </w:p>
    <w:p w14:paraId="2499FE25" w14:textId="77777777" w:rsidR="000C57F0" w:rsidRDefault="000C57F0" w:rsidP="000C57F0">
      <w:pPr>
        <w:tabs>
          <w:tab w:val="right" w:pos="9066"/>
        </w:tabs>
      </w:pPr>
      <w:r>
        <w:t>3. Die Rechtsquellen des Staatskirchenrechts</w:t>
      </w:r>
    </w:p>
    <w:p w14:paraId="42B7A74F" w14:textId="77777777" w:rsidR="000C57F0" w:rsidRDefault="000C57F0" w:rsidP="000C57F0">
      <w:pPr>
        <w:tabs>
          <w:tab w:val="right" w:pos="9066"/>
        </w:tabs>
      </w:pPr>
    </w:p>
    <w:p w14:paraId="1A9A61AF" w14:textId="77777777" w:rsidR="00310BF9" w:rsidRDefault="00310BF9" w:rsidP="000C57F0">
      <w:pPr>
        <w:tabs>
          <w:tab w:val="right" w:pos="9066"/>
        </w:tabs>
        <w:rPr>
          <w:i/>
        </w:rPr>
      </w:pPr>
    </w:p>
    <w:p w14:paraId="2FA24434" w14:textId="77777777" w:rsidR="000C57F0" w:rsidRDefault="000C57F0" w:rsidP="000C57F0">
      <w:pPr>
        <w:tabs>
          <w:tab w:val="right" w:pos="9066"/>
        </w:tabs>
        <w:rPr>
          <w:i/>
        </w:rPr>
      </w:pPr>
      <w:r>
        <w:rPr>
          <w:i/>
        </w:rPr>
        <w:t>II. Teil: Staatskirchenrechtliche Grundentscheidungen</w:t>
      </w:r>
    </w:p>
    <w:p w14:paraId="7F1F3942" w14:textId="77777777" w:rsidR="00310BF9" w:rsidRDefault="00310BF9" w:rsidP="000C57F0">
      <w:pPr>
        <w:tabs>
          <w:tab w:val="right" w:pos="9066"/>
        </w:tabs>
      </w:pPr>
    </w:p>
    <w:p w14:paraId="6BE485EC" w14:textId="77777777" w:rsidR="002C4E54" w:rsidRDefault="002C4E54" w:rsidP="000C57F0">
      <w:pPr>
        <w:tabs>
          <w:tab w:val="right" w:pos="9066"/>
        </w:tabs>
      </w:pPr>
      <w:r>
        <w:t xml:space="preserve">4. Das Verbot der Staatskirche (Art. 140 GG </w:t>
      </w:r>
      <w:proofErr w:type="spellStart"/>
      <w:r>
        <w:t>iVm</w:t>
      </w:r>
      <w:proofErr w:type="spellEnd"/>
      <w:r>
        <w:t xml:space="preserve"> Art. 137 I WRV)</w:t>
      </w:r>
    </w:p>
    <w:p w14:paraId="38F28CC5" w14:textId="77777777" w:rsidR="000C57F0" w:rsidRDefault="002C4E54" w:rsidP="000C57F0">
      <w:pPr>
        <w:tabs>
          <w:tab w:val="right" w:pos="9066"/>
        </w:tabs>
      </w:pPr>
      <w:r>
        <w:t>5</w:t>
      </w:r>
      <w:r w:rsidR="00292BF7">
        <w:t>. Dogmatische Konturen der</w:t>
      </w:r>
      <w:r w:rsidR="000C57F0">
        <w:t xml:space="preserve"> Religionsfreiheit (Art. 4 I und II GG)</w:t>
      </w:r>
    </w:p>
    <w:p w14:paraId="6B427BC8" w14:textId="6D19040E" w:rsidR="00F04D57" w:rsidRDefault="002C4E54" w:rsidP="009B28DF">
      <w:pPr>
        <w:tabs>
          <w:tab w:val="right" w:pos="9066"/>
        </w:tabs>
      </w:pPr>
      <w:r>
        <w:t>6</w:t>
      </w:r>
      <w:r w:rsidR="00292BF7">
        <w:t>. Die Religionsfreiheit in der Bewährung</w:t>
      </w:r>
      <w:r w:rsidR="009B28DF">
        <w:t xml:space="preserve"> - </w:t>
      </w:r>
      <w:r w:rsidR="00F04D57">
        <w:t xml:space="preserve">Die Unterrichtsbefreiung aus religiösen Gründen als Exempel </w:t>
      </w:r>
    </w:p>
    <w:p w14:paraId="060F840D" w14:textId="77777777" w:rsidR="000C57F0" w:rsidRDefault="00292BF7" w:rsidP="000C57F0">
      <w:pPr>
        <w:tabs>
          <w:tab w:val="right" w:pos="9066"/>
        </w:tabs>
      </w:pPr>
      <w:r>
        <w:t>7</w:t>
      </w:r>
      <w:r w:rsidR="000C57F0">
        <w:t xml:space="preserve">. Das Selbstbestimmungsrecht der Kirchen und Religionsgemeinschaften (Art. 140 GG </w:t>
      </w:r>
      <w:proofErr w:type="spellStart"/>
      <w:r w:rsidR="000C57F0">
        <w:t>iVm</w:t>
      </w:r>
      <w:proofErr w:type="spellEnd"/>
      <w:r w:rsidR="000C57F0">
        <w:t xml:space="preserve"> Art. 137 III WRV)</w:t>
      </w:r>
    </w:p>
    <w:p w14:paraId="1C49A285" w14:textId="77777777" w:rsidR="000C57F0" w:rsidRDefault="000C57F0" w:rsidP="000C57F0">
      <w:pPr>
        <w:tabs>
          <w:tab w:val="right" w:pos="9066"/>
        </w:tabs>
      </w:pPr>
    </w:p>
    <w:p w14:paraId="4FEC79D8" w14:textId="77777777" w:rsidR="00310BF9" w:rsidRDefault="00310BF9" w:rsidP="000C57F0">
      <w:pPr>
        <w:tabs>
          <w:tab w:val="right" w:pos="9066"/>
        </w:tabs>
        <w:rPr>
          <w:i/>
        </w:rPr>
      </w:pPr>
    </w:p>
    <w:p w14:paraId="3E0B2FC8" w14:textId="77777777" w:rsidR="000C57F0" w:rsidRDefault="000C57F0" w:rsidP="000C57F0">
      <w:pPr>
        <w:tabs>
          <w:tab w:val="right" w:pos="9066"/>
        </w:tabs>
        <w:rPr>
          <w:i/>
        </w:rPr>
      </w:pPr>
      <w:r>
        <w:rPr>
          <w:i/>
        </w:rPr>
        <w:t>III. Teil: Organisationsformen der Kirchen und Religionsgemeinschaften</w:t>
      </w:r>
    </w:p>
    <w:p w14:paraId="4E34DD1A" w14:textId="77777777" w:rsidR="00310BF9" w:rsidRDefault="00310BF9" w:rsidP="000C57F0">
      <w:pPr>
        <w:tabs>
          <w:tab w:val="right" w:pos="9066"/>
        </w:tabs>
      </w:pPr>
    </w:p>
    <w:p w14:paraId="5D13194B" w14:textId="77777777" w:rsidR="000C57F0" w:rsidRDefault="002C4E54" w:rsidP="000C57F0">
      <w:pPr>
        <w:tabs>
          <w:tab w:val="right" w:pos="9066"/>
        </w:tabs>
      </w:pPr>
      <w:r>
        <w:t>8</w:t>
      </w:r>
      <w:r w:rsidR="000C57F0">
        <w:t>. Kirchen- und Religionsgemeinschaften als Körperschaften des öffentlichen Rechts</w:t>
      </w:r>
    </w:p>
    <w:p w14:paraId="40BE2CD6" w14:textId="77777777" w:rsidR="000C57F0" w:rsidRDefault="000C57F0" w:rsidP="000C57F0">
      <w:pPr>
        <w:tabs>
          <w:tab w:val="right" w:pos="9066"/>
        </w:tabs>
      </w:pPr>
    </w:p>
    <w:p w14:paraId="5ACAD85F" w14:textId="77777777" w:rsidR="00310BF9" w:rsidRDefault="00310BF9" w:rsidP="000C57F0">
      <w:pPr>
        <w:tabs>
          <w:tab w:val="right" w:pos="9066"/>
        </w:tabs>
        <w:rPr>
          <w:i/>
        </w:rPr>
      </w:pPr>
    </w:p>
    <w:p w14:paraId="410D6966" w14:textId="77777777" w:rsidR="00F04D57" w:rsidRDefault="00F04D57">
      <w:pPr>
        <w:jc w:val="left"/>
        <w:rPr>
          <w:i/>
        </w:rPr>
      </w:pPr>
      <w:r>
        <w:rPr>
          <w:i/>
        </w:rPr>
        <w:br w:type="page"/>
      </w:r>
    </w:p>
    <w:p w14:paraId="32DB8B0E" w14:textId="3B4AD656" w:rsidR="000C57F0" w:rsidRPr="000C57F0" w:rsidRDefault="000C57F0" w:rsidP="000C57F0">
      <w:pPr>
        <w:tabs>
          <w:tab w:val="right" w:pos="9066"/>
        </w:tabs>
        <w:rPr>
          <w:i/>
        </w:rPr>
      </w:pPr>
      <w:r w:rsidRPr="000C57F0">
        <w:rPr>
          <w:i/>
        </w:rPr>
        <w:lastRenderedPageBreak/>
        <w:t xml:space="preserve">IV. </w:t>
      </w:r>
      <w:r>
        <w:rPr>
          <w:i/>
        </w:rPr>
        <w:t xml:space="preserve">Teil: </w:t>
      </w:r>
      <w:r w:rsidRPr="000C57F0">
        <w:rPr>
          <w:i/>
        </w:rPr>
        <w:t>Einzelfragen des Staatskirchenrechts</w:t>
      </w:r>
    </w:p>
    <w:p w14:paraId="2B726A0F" w14:textId="77777777" w:rsidR="00310BF9" w:rsidRDefault="00310BF9" w:rsidP="000C57F0">
      <w:pPr>
        <w:tabs>
          <w:tab w:val="right" w:pos="9066"/>
        </w:tabs>
      </w:pPr>
    </w:p>
    <w:p w14:paraId="5F5B9059" w14:textId="77777777" w:rsidR="000C57F0" w:rsidRDefault="002C4E54" w:rsidP="000C57F0">
      <w:pPr>
        <w:tabs>
          <w:tab w:val="right" w:pos="9066"/>
        </w:tabs>
      </w:pPr>
      <w:r>
        <w:t>9</w:t>
      </w:r>
      <w:r w:rsidR="000C57F0">
        <w:t>. Die Anstaltsseelsorge</w:t>
      </w:r>
    </w:p>
    <w:p w14:paraId="56BD8A6F" w14:textId="77777777" w:rsidR="000C57F0" w:rsidRDefault="002C4E54" w:rsidP="000C57F0">
      <w:pPr>
        <w:tabs>
          <w:tab w:val="right" w:pos="9066"/>
        </w:tabs>
      </w:pPr>
      <w:r>
        <w:t>10</w:t>
      </w:r>
      <w:r w:rsidR="000C57F0">
        <w:t>. Der Religionsunterricht</w:t>
      </w:r>
    </w:p>
    <w:p w14:paraId="4074B7F0" w14:textId="77777777" w:rsidR="000C57F0" w:rsidRDefault="002C4E54" w:rsidP="000C57F0">
      <w:pPr>
        <w:tabs>
          <w:tab w:val="right" w:pos="9066"/>
        </w:tabs>
      </w:pPr>
      <w:r>
        <w:t>11</w:t>
      </w:r>
      <w:r w:rsidR="000C57F0">
        <w:t>. Die Staatsleistungen und ihre Ablösung</w:t>
      </w:r>
    </w:p>
    <w:p w14:paraId="58C15671" w14:textId="77777777" w:rsidR="000C57F0" w:rsidRDefault="002C4E54" w:rsidP="000C57F0">
      <w:pPr>
        <w:tabs>
          <w:tab w:val="right" w:pos="9066"/>
        </w:tabs>
      </w:pPr>
      <w:r>
        <w:t>12</w:t>
      </w:r>
      <w:r w:rsidR="000C57F0">
        <w:t>. Der Sonn- und Feiertagsschutz</w:t>
      </w:r>
    </w:p>
    <w:p w14:paraId="0C1E083E" w14:textId="77777777" w:rsidR="000C57F0" w:rsidRDefault="002C4E54" w:rsidP="000C57F0">
      <w:pPr>
        <w:tabs>
          <w:tab w:val="right" w:pos="9066"/>
        </w:tabs>
      </w:pPr>
      <w:r>
        <w:t>13</w:t>
      </w:r>
      <w:r w:rsidR="000C57F0">
        <w:t xml:space="preserve">. </w:t>
      </w:r>
      <w:r w:rsidR="00292BF7">
        <w:t xml:space="preserve">Gegenwärtige Formen und Alternativen der Kirchenfinanzierung </w:t>
      </w:r>
    </w:p>
    <w:p w14:paraId="772EE82B" w14:textId="77777777" w:rsidR="000C57F0" w:rsidRDefault="002C4E54" w:rsidP="000C57F0">
      <w:pPr>
        <w:tabs>
          <w:tab w:val="right" w:pos="9066"/>
        </w:tabs>
      </w:pPr>
      <w:r>
        <w:t>14</w:t>
      </w:r>
      <w:r w:rsidR="000C57F0">
        <w:t>. Die staatskirchenrechtlichen Verträge</w:t>
      </w:r>
    </w:p>
    <w:p w14:paraId="5D8DBBEB" w14:textId="77777777" w:rsidR="000C57F0" w:rsidRDefault="000C57F0" w:rsidP="000C57F0">
      <w:pPr>
        <w:tabs>
          <w:tab w:val="right" w:pos="9066"/>
        </w:tabs>
      </w:pPr>
    </w:p>
    <w:p w14:paraId="216F21C8" w14:textId="77777777" w:rsidR="00310BF9" w:rsidRDefault="00310BF9" w:rsidP="000C57F0">
      <w:pPr>
        <w:tabs>
          <w:tab w:val="right" w:pos="9066"/>
        </w:tabs>
        <w:rPr>
          <w:i/>
        </w:rPr>
      </w:pPr>
    </w:p>
    <w:p w14:paraId="3F6FAF5A" w14:textId="77777777" w:rsidR="000C57F0" w:rsidRPr="000C57F0" w:rsidRDefault="000C57F0" w:rsidP="000C57F0">
      <w:pPr>
        <w:tabs>
          <w:tab w:val="right" w:pos="9066"/>
        </w:tabs>
        <w:rPr>
          <w:i/>
        </w:rPr>
      </w:pPr>
      <w:r w:rsidRPr="000C57F0">
        <w:rPr>
          <w:i/>
        </w:rPr>
        <w:t>V. Teil: Das Staatskirchenrecht in Europa</w:t>
      </w:r>
    </w:p>
    <w:p w14:paraId="3AA6E44A" w14:textId="77777777" w:rsidR="00310BF9" w:rsidRDefault="00310BF9" w:rsidP="000C57F0">
      <w:pPr>
        <w:tabs>
          <w:tab w:val="right" w:pos="9066"/>
        </w:tabs>
      </w:pPr>
    </w:p>
    <w:p w14:paraId="2F90C77F" w14:textId="77777777" w:rsidR="000C57F0" w:rsidRDefault="002C4E54" w:rsidP="000C57F0">
      <w:pPr>
        <w:tabs>
          <w:tab w:val="right" w:pos="9066"/>
        </w:tabs>
      </w:pPr>
      <w:r>
        <w:t>15</w:t>
      </w:r>
      <w:r w:rsidR="000C57F0">
        <w:t>. Modelle staatkirchenrechtlicher Ordnungen im Vergleich</w:t>
      </w:r>
    </w:p>
    <w:p w14:paraId="60421A18" w14:textId="77777777" w:rsidR="000C57F0" w:rsidRDefault="002C4E54" w:rsidP="000C57F0">
      <w:pPr>
        <w:tabs>
          <w:tab w:val="right" w:pos="9066"/>
        </w:tabs>
      </w:pPr>
      <w:r>
        <w:t>16</w:t>
      </w:r>
      <w:r w:rsidR="000C57F0">
        <w:t>. Staat und Kirche in der Europäischen Union</w:t>
      </w:r>
    </w:p>
    <w:p w14:paraId="62EFE515" w14:textId="77777777" w:rsidR="000C57F0" w:rsidRDefault="000C57F0" w:rsidP="000C57F0">
      <w:pPr>
        <w:tabs>
          <w:tab w:val="right" w:pos="9066"/>
        </w:tabs>
      </w:pPr>
    </w:p>
    <w:p w14:paraId="720A132A" w14:textId="77777777" w:rsidR="00F04D57" w:rsidRDefault="00F04D57" w:rsidP="000C57F0">
      <w:pPr>
        <w:tabs>
          <w:tab w:val="right" w:pos="9066"/>
        </w:tabs>
      </w:pPr>
    </w:p>
    <w:p w14:paraId="245F2027" w14:textId="3A9144D3" w:rsidR="001B0CF1" w:rsidRDefault="000C57F0" w:rsidP="000C57F0">
      <w:pPr>
        <w:tabs>
          <w:tab w:val="right" w:pos="9066"/>
        </w:tabs>
      </w:pPr>
      <w:r>
        <w:t xml:space="preserve">Das Seminar </w:t>
      </w:r>
      <w:r w:rsidR="001B0CF1">
        <w:t xml:space="preserve">kann als </w:t>
      </w:r>
      <w:r w:rsidR="001B0CF1" w:rsidRPr="001B0CF1">
        <w:rPr>
          <w:b/>
        </w:rPr>
        <w:t>Zulassungsseminar</w:t>
      </w:r>
      <w:r w:rsidR="001B0CF1">
        <w:t xml:space="preserve"> für jeden Schwerpunktbereich oder als </w:t>
      </w:r>
      <w:r w:rsidR="001B0CF1" w:rsidRPr="001B0CF1">
        <w:rPr>
          <w:b/>
        </w:rPr>
        <w:t xml:space="preserve">Prüfungsseminar </w:t>
      </w:r>
      <w:r w:rsidR="001B0CF1">
        <w:t>in den Schwerpunktbereichen 1 (Grundlagen des Rechts) oder 2 (Staat und Verwaltung – Umwelt, Bauen, Wirtschaft) gewählt werden</w:t>
      </w:r>
      <w:r w:rsidR="00E0355D">
        <w:t xml:space="preserve">. </w:t>
      </w:r>
      <w:r w:rsidR="001B0CF1">
        <w:t xml:space="preserve">Wissenschaftliche Studienarbeiten (Prüfungsseminararbeiten) dürfen nur angefertigt werden, wenn der Kandidat zur universitären Schwerpunktbereichsprüfung durch das Studienbüro zugelassen wurde. </w:t>
      </w:r>
    </w:p>
    <w:p w14:paraId="758A7962" w14:textId="77777777" w:rsidR="000C57F0" w:rsidRDefault="000C57F0" w:rsidP="000C57F0">
      <w:pPr>
        <w:tabs>
          <w:tab w:val="right" w:pos="9066"/>
        </w:tabs>
      </w:pPr>
    </w:p>
    <w:p w14:paraId="3F8E9619" w14:textId="1C74940C" w:rsidR="002158B3" w:rsidRDefault="000C57F0" w:rsidP="002158B3">
      <w:pPr>
        <w:tabs>
          <w:tab w:val="right" w:pos="9066"/>
        </w:tabs>
      </w:pPr>
      <w:r>
        <w:t xml:space="preserve">Die </w:t>
      </w:r>
      <w:r w:rsidRPr="001A30F2">
        <w:rPr>
          <w:b/>
        </w:rPr>
        <w:t>Vorbesprechung</w:t>
      </w:r>
      <w:r w:rsidR="001A30F2">
        <w:t xml:space="preserve"> findet</w:t>
      </w:r>
      <w:r>
        <w:t xml:space="preserve"> am </w:t>
      </w:r>
      <w:r w:rsidR="008B1723">
        <w:t>Montag</w:t>
      </w:r>
      <w:r w:rsidR="00F04D57">
        <w:t xml:space="preserve">, </w:t>
      </w:r>
      <w:r w:rsidR="008B1723">
        <w:t>den</w:t>
      </w:r>
      <w:r w:rsidR="00F04D57">
        <w:t xml:space="preserve"> </w:t>
      </w:r>
      <w:r w:rsidR="008B1723" w:rsidRPr="000E44A0">
        <w:rPr>
          <w:b/>
          <w:bCs/>
        </w:rPr>
        <w:t>04</w:t>
      </w:r>
      <w:r w:rsidRPr="000E44A0">
        <w:rPr>
          <w:b/>
          <w:bCs/>
        </w:rPr>
        <w:t xml:space="preserve">. </w:t>
      </w:r>
      <w:r w:rsidR="008B1723" w:rsidRPr="000E44A0">
        <w:rPr>
          <w:b/>
          <w:bCs/>
        </w:rPr>
        <w:t>Juli</w:t>
      </w:r>
      <w:r w:rsidRPr="000E44A0">
        <w:rPr>
          <w:b/>
          <w:bCs/>
        </w:rPr>
        <w:t xml:space="preserve"> 20</w:t>
      </w:r>
      <w:r w:rsidR="002158B3" w:rsidRPr="000E44A0">
        <w:rPr>
          <w:b/>
          <w:bCs/>
        </w:rPr>
        <w:t>22</w:t>
      </w:r>
      <w:r w:rsidRPr="000E44A0">
        <w:t xml:space="preserve">, um </w:t>
      </w:r>
      <w:r w:rsidR="008B1723" w:rsidRPr="000E44A0">
        <w:rPr>
          <w:b/>
          <w:bCs/>
        </w:rPr>
        <w:t>17</w:t>
      </w:r>
      <w:r w:rsidRPr="000E44A0">
        <w:rPr>
          <w:b/>
          <w:bCs/>
        </w:rPr>
        <w:t>.</w:t>
      </w:r>
      <w:r w:rsidR="008B1723" w:rsidRPr="000E44A0">
        <w:rPr>
          <w:b/>
          <w:bCs/>
        </w:rPr>
        <w:t>00</w:t>
      </w:r>
      <w:r w:rsidR="00F04D57" w:rsidRPr="000E44A0">
        <w:rPr>
          <w:b/>
          <w:bCs/>
        </w:rPr>
        <w:t xml:space="preserve"> Uhr</w:t>
      </w:r>
      <w:r w:rsidR="008B1723" w:rsidRPr="000E44A0">
        <w:rPr>
          <w:b/>
          <w:bCs/>
        </w:rPr>
        <w:t xml:space="preserve"> c.t.</w:t>
      </w:r>
      <w:r w:rsidR="008B1723" w:rsidRPr="000E44A0">
        <w:t xml:space="preserve"> </w:t>
      </w:r>
      <w:r w:rsidR="00873D46" w:rsidRPr="000E44A0">
        <w:t xml:space="preserve">in </w:t>
      </w:r>
      <w:r w:rsidR="008B1723" w:rsidRPr="000E44A0">
        <w:rPr>
          <w:b/>
          <w:bCs/>
        </w:rPr>
        <w:t>S 420</w:t>
      </w:r>
      <w:r w:rsidR="00873D46" w:rsidRPr="000E44A0">
        <w:rPr>
          <w:b/>
          <w:bCs/>
        </w:rPr>
        <w:t xml:space="preserve"> </w:t>
      </w:r>
      <w:r w:rsidR="008B1723" w:rsidRPr="000E44A0">
        <w:rPr>
          <w:b/>
          <w:bCs/>
        </w:rPr>
        <w:t>im</w:t>
      </w:r>
      <w:r w:rsidR="00873D46" w:rsidRPr="000E44A0">
        <w:rPr>
          <w:b/>
          <w:bCs/>
        </w:rPr>
        <w:t xml:space="preserve"> </w:t>
      </w:r>
      <w:r w:rsidR="008B1723" w:rsidRPr="000E44A0">
        <w:rPr>
          <w:b/>
          <w:bCs/>
        </w:rPr>
        <w:t>Seminargebäude</w:t>
      </w:r>
      <w:r w:rsidR="00873D46" w:rsidRPr="000E44A0">
        <w:t xml:space="preserve"> </w:t>
      </w:r>
      <w:r w:rsidR="008B1723">
        <w:t>am Hauptcampus</w:t>
      </w:r>
      <w:r w:rsidR="001A30F2">
        <w:t xml:space="preserve"> statt</w:t>
      </w:r>
      <w:r w:rsidR="00873D46">
        <w:t>.</w:t>
      </w:r>
      <w:r>
        <w:t xml:space="preserve"> Im Rahmen der Vorbesprechung erfolgt auch die Vergabe der Themen. </w:t>
      </w:r>
      <w:r w:rsidRPr="001A30F2">
        <w:rPr>
          <w:b/>
        </w:rPr>
        <w:t>Voranmeldungen</w:t>
      </w:r>
      <w:r>
        <w:t xml:space="preserve"> </w:t>
      </w:r>
      <w:r w:rsidR="002158B3">
        <w:t>(</w:t>
      </w:r>
      <w:r w:rsidR="001A30F2">
        <w:t>ab dem 3</w:t>
      </w:r>
      <w:r w:rsidR="00255BC6">
        <w:t>. Fachsemester</w:t>
      </w:r>
      <w:r w:rsidR="002158B3">
        <w:t>)</w:t>
      </w:r>
      <w:r w:rsidR="00255BC6">
        <w:t xml:space="preserve"> </w:t>
      </w:r>
      <w:r>
        <w:t>nimmt der Lehrstuhl</w:t>
      </w:r>
      <w:r w:rsidR="002E5EDD">
        <w:t xml:space="preserve"> </w:t>
      </w:r>
      <w:r w:rsidR="002158B3" w:rsidRPr="009B2429">
        <w:rPr>
          <w:rFonts w:hint="cs"/>
        </w:rPr>
        <w:t xml:space="preserve">unter Angabe von drei alternativen </w:t>
      </w:r>
      <w:proofErr w:type="spellStart"/>
      <w:r w:rsidR="002158B3" w:rsidRPr="009B2429">
        <w:rPr>
          <w:rFonts w:hint="cs"/>
        </w:rPr>
        <w:t>Themenwünschen</w:t>
      </w:r>
      <w:proofErr w:type="spellEnd"/>
      <w:r w:rsidR="002158B3">
        <w:t xml:space="preserve"> sowie der Information, ob es sich um ein Zulassungs- oder Prüfungsseminar handelt,</w:t>
      </w:r>
      <w:r w:rsidR="002158B3" w:rsidRPr="009B2429">
        <w:rPr>
          <w:rFonts w:hint="cs"/>
        </w:rPr>
        <w:t xml:space="preserve"> </w:t>
      </w:r>
      <w:r w:rsidR="002158B3" w:rsidRPr="00F238C8">
        <w:rPr>
          <w:rFonts w:hint="cs"/>
          <w:bCs/>
        </w:rPr>
        <w:t>ab sofort</w:t>
      </w:r>
      <w:r w:rsidR="00C03481" w:rsidRPr="00C03481">
        <w:rPr>
          <w:b/>
          <w:bCs/>
        </w:rPr>
        <w:t xml:space="preserve"> </w:t>
      </w:r>
      <w:r w:rsidR="002158B3" w:rsidRPr="009B2429">
        <w:rPr>
          <w:rFonts w:hint="cs"/>
        </w:rPr>
        <w:t xml:space="preserve">entgegen. Bitte </w:t>
      </w:r>
      <w:r w:rsidR="002E5EDD" w:rsidRPr="00F545C6">
        <w:rPr>
          <w:shd w:val="clear" w:color="auto" w:fill="FFFFFF" w:themeFill="background1"/>
        </w:rPr>
        <w:t>schreiben</w:t>
      </w:r>
      <w:r w:rsidR="002158B3" w:rsidRPr="00F545C6">
        <w:rPr>
          <w:rFonts w:hint="cs"/>
          <w:shd w:val="clear" w:color="auto" w:fill="FFFFFF" w:themeFill="background1"/>
        </w:rPr>
        <w:t xml:space="preserve"> </w:t>
      </w:r>
      <w:r w:rsidR="002158B3" w:rsidRPr="000E44A0">
        <w:rPr>
          <w:rFonts w:hint="cs"/>
          <w:shd w:val="clear" w:color="auto" w:fill="FFFFFF" w:themeFill="background1"/>
        </w:rPr>
        <w:t xml:space="preserve">Sie </w:t>
      </w:r>
      <w:r w:rsidR="002158B3" w:rsidRPr="00F545C6">
        <w:rPr>
          <w:rFonts w:hint="cs"/>
          <w:shd w:val="clear" w:color="auto" w:fill="FFFFFF" w:themeFill="background1"/>
        </w:rPr>
        <w:t xml:space="preserve">hierzu </w:t>
      </w:r>
      <w:r w:rsidR="002E5EDD" w:rsidRPr="00F545C6">
        <w:rPr>
          <w:shd w:val="clear" w:color="auto" w:fill="FFFFFF" w:themeFill="background1"/>
        </w:rPr>
        <w:t>eine E-</w:t>
      </w:r>
      <w:r w:rsidR="00316D92" w:rsidRPr="00F545C6">
        <w:rPr>
          <w:shd w:val="clear" w:color="auto" w:fill="FFFFFF" w:themeFill="background1"/>
        </w:rPr>
        <w:t xml:space="preserve">Mail </w:t>
      </w:r>
      <w:r w:rsidR="002E5EDD" w:rsidRPr="00F545C6">
        <w:rPr>
          <w:shd w:val="clear" w:color="auto" w:fill="FFFFFF" w:themeFill="background1"/>
        </w:rPr>
        <w:t>an das</w:t>
      </w:r>
      <w:r w:rsidR="002158B3" w:rsidRPr="00F545C6">
        <w:rPr>
          <w:rFonts w:hint="cs"/>
          <w:shd w:val="clear" w:color="auto" w:fill="FFFFFF" w:themeFill="background1"/>
        </w:rPr>
        <w:t xml:space="preserve"> Sekretariat des Lehrstuhls</w:t>
      </w:r>
      <w:r w:rsidR="002158B3" w:rsidRPr="000E44A0">
        <w:rPr>
          <w:rFonts w:hint="cs"/>
          <w:shd w:val="clear" w:color="auto" w:fill="FFFFFF" w:themeFill="background1"/>
        </w:rPr>
        <w:t xml:space="preserve"> </w:t>
      </w:r>
      <w:r w:rsidR="00F545C6">
        <w:rPr>
          <w:shd w:val="clear" w:color="auto" w:fill="FFFFFF" w:themeFill="background1"/>
        </w:rPr>
        <w:t>(</w:t>
      </w:r>
      <w:r w:rsidR="002E5EDD" w:rsidRPr="00F545C6">
        <w:rPr>
          <w:b/>
          <w:bCs/>
          <w:shd w:val="clear" w:color="auto" w:fill="FFFFFF" w:themeFill="background1"/>
        </w:rPr>
        <w:t>sekretariat.uhle@uni-leipzig.de</w:t>
      </w:r>
      <w:r w:rsidR="00F545C6">
        <w:rPr>
          <w:shd w:val="clear" w:color="auto" w:fill="FFFFFF" w:themeFill="background1"/>
        </w:rPr>
        <w:t>)</w:t>
      </w:r>
      <w:r w:rsidR="002158B3" w:rsidRPr="000E44A0">
        <w:rPr>
          <w:rFonts w:hint="cs"/>
          <w:shd w:val="clear" w:color="auto" w:fill="FFFFFF" w:themeFill="background1"/>
        </w:rPr>
        <w:t xml:space="preserve">. </w:t>
      </w:r>
      <w:r w:rsidR="002158B3" w:rsidRPr="000E44A0">
        <w:rPr>
          <w:shd w:val="clear" w:color="auto" w:fill="FFFFFF" w:themeFill="background1"/>
        </w:rPr>
        <w:t>Nach der Anmeldung</w:t>
      </w:r>
      <w:r w:rsidR="002158B3">
        <w:t xml:space="preserve"> wird der Lehrstuhl mit weite</w:t>
      </w:r>
      <w:bookmarkStart w:id="0" w:name="_GoBack"/>
      <w:bookmarkEnd w:id="0"/>
      <w:r w:rsidR="002158B3">
        <w:t xml:space="preserve">ren Informationen bezüglich der Teilnahme an der Vorbesprechung auf Sie zukommen. </w:t>
      </w:r>
    </w:p>
    <w:p w14:paraId="5C5F9BD0" w14:textId="5C2101B7" w:rsidR="000C57F0" w:rsidRDefault="000C57F0" w:rsidP="000C57F0">
      <w:pPr>
        <w:tabs>
          <w:tab w:val="right" w:pos="9066"/>
        </w:tabs>
      </w:pPr>
    </w:p>
    <w:p w14:paraId="0919AB4C" w14:textId="77777777" w:rsidR="000E3335" w:rsidRDefault="000E3335" w:rsidP="000C57F0">
      <w:pPr>
        <w:tabs>
          <w:tab w:val="right" w:pos="9066"/>
        </w:tabs>
      </w:pPr>
    </w:p>
    <w:p w14:paraId="5E2C1D34" w14:textId="36699B98" w:rsidR="006A2F4E" w:rsidRDefault="000E3335" w:rsidP="000C57F0">
      <w:pPr>
        <w:tabs>
          <w:tab w:val="right" w:pos="9066"/>
        </w:tabs>
      </w:pPr>
      <w:r>
        <w:t xml:space="preserve">Die Blockveranstaltung wird universitätsextern durchgeführt, wobei die Teilnehmerinnen und Teilnehmer Gäste der Hanns Martin Schleyer-Stiftung, Berlin, sein werden. </w:t>
      </w:r>
    </w:p>
    <w:p w14:paraId="5AE9541A" w14:textId="77777777" w:rsidR="00E0355D" w:rsidRDefault="00E0355D" w:rsidP="000C57F0">
      <w:pPr>
        <w:tabs>
          <w:tab w:val="right" w:pos="9066"/>
        </w:tabs>
      </w:pPr>
    </w:p>
    <w:p w14:paraId="444C459B" w14:textId="77777777" w:rsidR="000C57F0" w:rsidRDefault="000C57F0" w:rsidP="000C57F0">
      <w:pPr>
        <w:tabs>
          <w:tab w:val="right" w:pos="9066"/>
        </w:tabs>
      </w:pPr>
    </w:p>
    <w:p w14:paraId="3D17352F" w14:textId="77777777" w:rsidR="000C57F0" w:rsidRPr="000C57F0" w:rsidRDefault="000C57F0" w:rsidP="000C57F0">
      <w:pPr>
        <w:tabs>
          <w:tab w:val="right" w:pos="9066"/>
        </w:tabs>
        <w:jc w:val="right"/>
      </w:pPr>
      <w:r>
        <w:t>gez. Prof. Dr. Arnd Uhle</w:t>
      </w:r>
    </w:p>
    <w:p w14:paraId="3E6018CD" w14:textId="77777777" w:rsidR="000C57F0" w:rsidRDefault="000C57F0" w:rsidP="000C57F0">
      <w:pPr>
        <w:tabs>
          <w:tab w:val="right" w:pos="9066"/>
        </w:tabs>
        <w:jc w:val="center"/>
      </w:pPr>
    </w:p>
    <w:p w14:paraId="07A44A51" w14:textId="77777777" w:rsidR="000C57F0" w:rsidRDefault="000C57F0" w:rsidP="000C57F0">
      <w:pPr>
        <w:tabs>
          <w:tab w:val="right" w:pos="9066"/>
        </w:tabs>
        <w:jc w:val="left"/>
      </w:pPr>
    </w:p>
    <w:sectPr w:rsidR="000C57F0" w:rsidSect="001F220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134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7EF95B" w14:textId="77777777" w:rsidR="00990F2A" w:rsidRDefault="00990F2A" w:rsidP="00970706">
      <w:r>
        <w:separator/>
      </w:r>
    </w:p>
  </w:endnote>
  <w:endnote w:type="continuationSeparator" w:id="0">
    <w:p w14:paraId="1C01D320" w14:textId="77777777" w:rsidR="00990F2A" w:rsidRDefault="00990F2A" w:rsidP="00970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49928" w14:textId="77777777" w:rsidR="00635BC6" w:rsidRDefault="00635BC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13A61" w14:textId="77777777" w:rsidR="00635BC6" w:rsidRDefault="00635BC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4D9D7" w14:textId="77777777" w:rsidR="00635BC6" w:rsidRDefault="00635BC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C402E6" w14:textId="77777777" w:rsidR="00990F2A" w:rsidRDefault="00990F2A" w:rsidP="00970706">
      <w:r>
        <w:separator/>
      </w:r>
    </w:p>
  </w:footnote>
  <w:footnote w:type="continuationSeparator" w:id="0">
    <w:p w14:paraId="45E178E3" w14:textId="77777777" w:rsidR="00990F2A" w:rsidRDefault="00990F2A" w:rsidP="009707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49868" w14:textId="77777777" w:rsidR="00635BC6" w:rsidRDefault="00635BC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85" w:type="dxa"/>
      <w:tblInd w:w="-284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429"/>
      <w:gridCol w:w="3299"/>
      <w:gridCol w:w="2557"/>
    </w:tblGrid>
    <w:tr w:rsidR="00970706" w14:paraId="5AE0746D" w14:textId="77777777" w:rsidTr="0075679E">
      <w:trPr>
        <w:cantSplit/>
        <w:trHeight w:val="279"/>
      </w:trPr>
      <w:tc>
        <w:tcPr>
          <w:tcW w:w="7728" w:type="dxa"/>
          <w:gridSpan w:val="2"/>
          <w:vMerge w:val="restart"/>
        </w:tcPr>
        <w:p w14:paraId="476019D0" w14:textId="77777777" w:rsidR="00970706" w:rsidRDefault="00970706" w:rsidP="00970706">
          <w:pPr>
            <w:pStyle w:val="Kopfzeile"/>
            <w:ind w:right="73"/>
          </w:pPr>
          <w:r>
            <w:rPr>
              <w:noProof/>
              <w:lang w:eastAsia="de-DE"/>
            </w:rPr>
            <w:drawing>
              <wp:inline distT="0" distB="0" distL="0" distR="0" wp14:anchorId="5458033C" wp14:editId="4F80E51F">
                <wp:extent cx="3260725" cy="1009015"/>
                <wp:effectExtent l="0" t="0" r="0" b="635"/>
                <wp:docPr id="1" name="Bild 1" descr="UniLeipzig_Logo_Web_RGB_@2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Leipzig_Logo_Web_RGB_@2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128" t="17407" b="1753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60725" cy="1009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7" w:type="dxa"/>
        </w:tcPr>
        <w:p w14:paraId="29A93199" w14:textId="68BEE5DD" w:rsidR="00970706" w:rsidRPr="002C28B0" w:rsidRDefault="00970706" w:rsidP="00635BC6">
          <w:pPr>
            <w:pStyle w:val="Kopfzeile"/>
            <w:ind w:right="73"/>
            <w:rPr>
              <w:b/>
              <w:bCs/>
              <w:sz w:val="18"/>
              <w:szCs w:val="18"/>
            </w:rPr>
          </w:pPr>
          <w:r w:rsidRPr="002C28B0">
            <w:rPr>
              <w:b/>
              <w:bCs/>
              <w:sz w:val="18"/>
              <w:szCs w:val="18"/>
            </w:rPr>
            <w:t>Lehrstuhl für Öffentliches Recht, insbesondere für Staats</w:t>
          </w:r>
          <w:r w:rsidR="00635BC6">
            <w:rPr>
              <w:b/>
              <w:bCs/>
              <w:sz w:val="18"/>
              <w:szCs w:val="18"/>
            </w:rPr>
            <w:t>-</w:t>
          </w:r>
          <w:r w:rsidRPr="002C28B0">
            <w:rPr>
              <w:b/>
              <w:bCs/>
              <w:sz w:val="18"/>
              <w:szCs w:val="18"/>
            </w:rPr>
            <w:t>recht, Allgemeine Staatslehre und Verfassungstheorie</w:t>
          </w:r>
        </w:p>
      </w:tc>
    </w:tr>
    <w:tr w:rsidR="00970706" w14:paraId="15C909E5" w14:textId="77777777" w:rsidTr="001F2206">
      <w:trPr>
        <w:cantSplit/>
        <w:trHeight w:val="852"/>
      </w:trPr>
      <w:tc>
        <w:tcPr>
          <w:tcW w:w="7728" w:type="dxa"/>
          <w:gridSpan w:val="2"/>
          <w:vMerge/>
        </w:tcPr>
        <w:p w14:paraId="6FDF5C20" w14:textId="77777777" w:rsidR="00970706" w:rsidRDefault="00970706" w:rsidP="00970706">
          <w:pPr>
            <w:pStyle w:val="Kopfzeile"/>
          </w:pPr>
        </w:p>
      </w:tc>
      <w:tc>
        <w:tcPr>
          <w:tcW w:w="2557" w:type="dxa"/>
          <w:vMerge w:val="restart"/>
        </w:tcPr>
        <w:p w14:paraId="66DE325B" w14:textId="77777777" w:rsidR="00970706" w:rsidRPr="00B57FCA" w:rsidRDefault="00970706" w:rsidP="00970706">
          <w:pPr>
            <w:pStyle w:val="Einrichtung1"/>
            <w:tabs>
              <w:tab w:val="left" w:pos="624"/>
            </w:tabs>
            <w:ind w:left="0" w:right="73"/>
            <w:rPr>
              <w:bCs/>
              <w:sz w:val="14"/>
              <w:szCs w:val="14"/>
            </w:rPr>
          </w:pPr>
        </w:p>
        <w:p w14:paraId="753EBB46" w14:textId="77777777" w:rsidR="00970706" w:rsidRDefault="00970706" w:rsidP="00970706">
          <w:pPr>
            <w:pStyle w:val="Einrichtung1"/>
            <w:tabs>
              <w:tab w:val="left" w:pos="624"/>
            </w:tabs>
            <w:ind w:left="0" w:right="73"/>
            <w:rPr>
              <w:bCs/>
              <w:sz w:val="17"/>
              <w:szCs w:val="17"/>
            </w:rPr>
          </w:pPr>
          <w:r w:rsidRPr="002C28B0">
            <w:rPr>
              <w:bCs/>
              <w:sz w:val="17"/>
              <w:szCs w:val="17"/>
            </w:rPr>
            <w:t xml:space="preserve">Forschungsstelle </w:t>
          </w:r>
        </w:p>
        <w:p w14:paraId="02A3740E" w14:textId="77777777" w:rsidR="00970706" w:rsidRPr="002C28B0" w:rsidRDefault="00970706" w:rsidP="00970706">
          <w:pPr>
            <w:pStyle w:val="Einrichtung1"/>
            <w:tabs>
              <w:tab w:val="left" w:pos="624"/>
            </w:tabs>
            <w:ind w:left="0" w:right="73"/>
            <w:rPr>
              <w:bCs/>
              <w:sz w:val="17"/>
              <w:szCs w:val="17"/>
            </w:rPr>
          </w:pPr>
          <w:r w:rsidRPr="002C28B0">
            <w:rPr>
              <w:bCs/>
              <w:sz w:val="17"/>
              <w:szCs w:val="17"/>
            </w:rPr>
            <w:t>„Recht und Religion“</w:t>
          </w:r>
        </w:p>
        <w:p w14:paraId="53A7E7DE" w14:textId="77777777" w:rsidR="00970706" w:rsidRPr="002A21AA" w:rsidRDefault="00970706" w:rsidP="00970706">
          <w:pPr>
            <w:pStyle w:val="Einrichtung1"/>
            <w:tabs>
              <w:tab w:val="left" w:pos="624"/>
            </w:tabs>
            <w:ind w:left="0" w:right="73"/>
            <w:rPr>
              <w:bCs/>
            </w:rPr>
          </w:pPr>
        </w:p>
        <w:p w14:paraId="6B7724FC" w14:textId="77777777" w:rsidR="00970706" w:rsidRPr="002C28B0" w:rsidRDefault="00970706" w:rsidP="00970706">
          <w:pPr>
            <w:pStyle w:val="Einrichtung1"/>
            <w:tabs>
              <w:tab w:val="left" w:pos="624"/>
            </w:tabs>
            <w:ind w:left="0" w:right="73"/>
            <w:rPr>
              <w:b/>
              <w:bCs/>
              <w:sz w:val="18"/>
              <w:szCs w:val="18"/>
            </w:rPr>
          </w:pPr>
          <w:r w:rsidRPr="002C28B0">
            <w:rPr>
              <w:b/>
              <w:bCs/>
              <w:sz w:val="18"/>
              <w:szCs w:val="18"/>
            </w:rPr>
            <w:t>Prof. Dr. iur. Arnd Uhle</w:t>
          </w:r>
        </w:p>
        <w:p w14:paraId="54D2D99F" w14:textId="77777777" w:rsidR="00970706" w:rsidRPr="002A21AA" w:rsidRDefault="00970706" w:rsidP="00970706">
          <w:pPr>
            <w:pStyle w:val="Einrichtung1"/>
            <w:tabs>
              <w:tab w:val="left" w:pos="624"/>
            </w:tabs>
            <w:ind w:left="0" w:right="73"/>
            <w:rPr>
              <w:b/>
              <w:bCs/>
              <w:sz w:val="14"/>
              <w:szCs w:val="14"/>
            </w:rPr>
          </w:pPr>
        </w:p>
        <w:p w14:paraId="37F38F31" w14:textId="77777777" w:rsidR="00970706" w:rsidRPr="00E345F8" w:rsidRDefault="00970706" w:rsidP="00970706">
          <w:pPr>
            <w:pStyle w:val="Einrichtung1"/>
            <w:tabs>
              <w:tab w:val="left" w:pos="624"/>
            </w:tabs>
            <w:ind w:left="0" w:right="73"/>
            <w:rPr>
              <w:bCs/>
              <w:sz w:val="17"/>
              <w:szCs w:val="17"/>
            </w:rPr>
          </w:pPr>
          <w:r w:rsidRPr="002C28B0">
            <w:rPr>
              <w:bCs/>
              <w:sz w:val="17"/>
              <w:szCs w:val="17"/>
            </w:rPr>
            <w:t>Richter des Verfassungsgerichtshofes des Freistaates Sachsen</w:t>
          </w:r>
        </w:p>
      </w:tc>
    </w:tr>
    <w:tr w:rsidR="00970706" w14:paraId="5F7CDDDB" w14:textId="77777777" w:rsidTr="0075679E">
      <w:trPr>
        <w:trHeight w:hRule="exact" w:val="853"/>
      </w:trPr>
      <w:tc>
        <w:tcPr>
          <w:tcW w:w="4429" w:type="dxa"/>
          <w:vAlign w:val="bottom"/>
        </w:tcPr>
        <w:p w14:paraId="5C8D476B" w14:textId="1EE2A550" w:rsidR="00970706" w:rsidRPr="003F7F7B" w:rsidRDefault="00970706" w:rsidP="00970706">
          <w:pPr>
            <w:pStyle w:val="Kopfzeile"/>
            <w:ind w:left="283"/>
          </w:pPr>
        </w:p>
      </w:tc>
      <w:tc>
        <w:tcPr>
          <w:tcW w:w="3299" w:type="dxa"/>
          <w:vAlign w:val="bottom"/>
        </w:tcPr>
        <w:p w14:paraId="32F9BAAD" w14:textId="77777777" w:rsidR="00970706" w:rsidRPr="003F7F7B" w:rsidRDefault="00970706" w:rsidP="00970706">
          <w:pPr>
            <w:pStyle w:val="Kopfzeile"/>
            <w:ind w:left="283"/>
          </w:pPr>
        </w:p>
      </w:tc>
      <w:tc>
        <w:tcPr>
          <w:tcW w:w="2557" w:type="dxa"/>
          <w:vMerge/>
          <w:vAlign w:val="bottom"/>
        </w:tcPr>
        <w:p w14:paraId="317B3A6B" w14:textId="77777777" w:rsidR="00970706" w:rsidRPr="003F7F7B" w:rsidRDefault="00970706" w:rsidP="00970706">
          <w:pPr>
            <w:pStyle w:val="Einrichtung1"/>
            <w:tabs>
              <w:tab w:val="left" w:pos="624"/>
            </w:tabs>
            <w:ind w:left="0" w:right="73"/>
            <w:rPr>
              <w:b/>
              <w:bCs/>
              <w:sz w:val="22"/>
            </w:rPr>
          </w:pPr>
        </w:p>
      </w:tc>
    </w:tr>
  </w:tbl>
  <w:p w14:paraId="0110E9D2" w14:textId="77777777" w:rsidR="00970706" w:rsidRDefault="0097070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59A87" w14:textId="77777777" w:rsidR="00635BC6" w:rsidRDefault="00635BC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7F0"/>
    <w:rsid w:val="00035ECD"/>
    <w:rsid w:val="00047A75"/>
    <w:rsid w:val="000811F9"/>
    <w:rsid w:val="000C57F0"/>
    <w:rsid w:val="000C64C6"/>
    <w:rsid w:val="000E3335"/>
    <w:rsid w:val="000E44A0"/>
    <w:rsid w:val="00111387"/>
    <w:rsid w:val="00112FCE"/>
    <w:rsid w:val="00173220"/>
    <w:rsid w:val="001A30F2"/>
    <w:rsid w:val="001B0CF1"/>
    <w:rsid w:val="001F2206"/>
    <w:rsid w:val="001F7D4C"/>
    <w:rsid w:val="002158B3"/>
    <w:rsid w:val="00255BC6"/>
    <w:rsid w:val="00275A31"/>
    <w:rsid w:val="00292BF7"/>
    <w:rsid w:val="002958B9"/>
    <w:rsid w:val="002C4E54"/>
    <w:rsid w:val="002E5EDD"/>
    <w:rsid w:val="002F46D4"/>
    <w:rsid w:val="002F4888"/>
    <w:rsid w:val="00302313"/>
    <w:rsid w:val="00310BF9"/>
    <w:rsid w:val="00316D92"/>
    <w:rsid w:val="00382ECB"/>
    <w:rsid w:val="004A0E4B"/>
    <w:rsid w:val="005023E3"/>
    <w:rsid w:val="00515A32"/>
    <w:rsid w:val="006330C1"/>
    <w:rsid w:val="00635BC6"/>
    <w:rsid w:val="00674226"/>
    <w:rsid w:val="00675E2F"/>
    <w:rsid w:val="00693BEF"/>
    <w:rsid w:val="006A2F4E"/>
    <w:rsid w:val="00776DAD"/>
    <w:rsid w:val="00873D46"/>
    <w:rsid w:val="008B1723"/>
    <w:rsid w:val="008C5BF0"/>
    <w:rsid w:val="0092183B"/>
    <w:rsid w:val="00970706"/>
    <w:rsid w:val="00990F2A"/>
    <w:rsid w:val="009B28DF"/>
    <w:rsid w:val="009D4C83"/>
    <w:rsid w:val="00A0156E"/>
    <w:rsid w:val="00A1259B"/>
    <w:rsid w:val="00A14D4B"/>
    <w:rsid w:val="00A35A7F"/>
    <w:rsid w:val="00B22633"/>
    <w:rsid w:val="00B32101"/>
    <w:rsid w:val="00BB0553"/>
    <w:rsid w:val="00BB0951"/>
    <w:rsid w:val="00BC011A"/>
    <w:rsid w:val="00BC052B"/>
    <w:rsid w:val="00BD386A"/>
    <w:rsid w:val="00BF4658"/>
    <w:rsid w:val="00C03481"/>
    <w:rsid w:val="00E0355D"/>
    <w:rsid w:val="00E139BE"/>
    <w:rsid w:val="00E3715C"/>
    <w:rsid w:val="00E57D7C"/>
    <w:rsid w:val="00F04D57"/>
    <w:rsid w:val="00F1633E"/>
    <w:rsid w:val="00F238C8"/>
    <w:rsid w:val="00F545C6"/>
    <w:rsid w:val="00F75290"/>
    <w:rsid w:val="00FC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A5D1E1"/>
  <w15:docId w15:val="{F86EC62C-B62F-B848-BBB2-5A3115EF7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14D4B"/>
    <w:pPr>
      <w:jc w:val="both"/>
    </w:pPr>
    <w:rPr>
      <w:rFonts w:ascii="Times New Roman" w:hAnsi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22633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22633"/>
    <w:rPr>
      <w:rFonts w:ascii="Times New Roman" w:eastAsiaTheme="majorEastAsia" w:hAnsi="Times New Roman" w:cstheme="majorBidi"/>
      <w:b/>
      <w:color w:val="000000" w:themeColor="text1"/>
      <w:szCs w:val="32"/>
    </w:rPr>
  </w:style>
  <w:style w:type="character" w:styleId="Hyperlink">
    <w:name w:val="Hyperlink"/>
    <w:basedOn w:val="Absatz-Standardschriftart"/>
    <w:uiPriority w:val="99"/>
    <w:unhideWhenUsed/>
    <w:rsid w:val="000C57F0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C57F0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1259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1259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1259B"/>
    <w:rPr>
      <w:rFonts w:ascii="Times New Roman" w:hAnsi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1259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1259B"/>
    <w:rPr>
      <w:rFonts w:ascii="Times New Roman" w:hAnsi="Times New Roman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259B"/>
    <w:rPr>
      <w:rFonts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259B"/>
    <w:rPr>
      <w:rFonts w:ascii="Times New Roman" w:hAnsi="Times New Roman" w:cs="Times New Roman"/>
      <w:sz w:val="18"/>
      <w:szCs w:val="18"/>
    </w:rPr>
  </w:style>
  <w:style w:type="paragraph" w:styleId="Kopfzeile">
    <w:name w:val="header"/>
    <w:basedOn w:val="Standard"/>
    <w:link w:val="KopfzeileZchn"/>
    <w:unhideWhenUsed/>
    <w:rsid w:val="0097070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70706"/>
    <w:rPr>
      <w:rFonts w:ascii="Times New Roman" w:hAnsi="Times New Roman"/>
    </w:rPr>
  </w:style>
  <w:style w:type="paragraph" w:styleId="Fuzeile">
    <w:name w:val="footer"/>
    <w:basedOn w:val="Standard"/>
    <w:link w:val="FuzeileZchn"/>
    <w:uiPriority w:val="99"/>
    <w:unhideWhenUsed/>
    <w:rsid w:val="0097070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70706"/>
    <w:rPr>
      <w:rFonts w:ascii="Times New Roman" w:hAnsi="Times New Roman"/>
    </w:rPr>
  </w:style>
  <w:style w:type="paragraph" w:customStyle="1" w:styleId="Einrichtung1">
    <w:name w:val="Einrichtung1"/>
    <w:basedOn w:val="Standard"/>
    <w:rsid w:val="00970706"/>
    <w:pPr>
      <w:ind w:left="113" w:right="113"/>
      <w:jc w:val="left"/>
    </w:pPr>
    <w:rPr>
      <w:rFonts w:eastAsia="Times New Roman" w:cs="Times New Roman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2550</Characters>
  <Application>Microsoft Office Word</Application>
  <DocSecurity>0</DocSecurity>
  <Lines>49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Office-Benutzer</dc:creator>
  <cp:keywords/>
  <dc:description/>
  <cp:lastModifiedBy>Schmitt, Jonas</cp:lastModifiedBy>
  <cp:revision>3</cp:revision>
  <cp:lastPrinted>2018-06-27T08:59:00Z</cp:lastPrinted>
  <dcterms:created xsi:type="dcterms:W3CDTF">2022-06-14T10:03:00Z</dcterms:created>
  <dcterms:modified xsi:type="dcterms:W3CDTF">2022-06-14T12:38:00Z</dcterms:modified>
</cp:coreProperties>
</file>