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232" w:rsidRPr="00226232" w:rsidRDefault="00226232" w:rsidP="00226232">
      <w:pPr>
        <w:spacing w:before="120" w:after="120" w:line="240" w:lineRule="auto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de-DE"/>
        </w:rPr>
      </w:pPr>
      <w:bookmarkStart w:id="0" w:name="_GoBack"/>
      <w:r w:rsidRPr="00226232">
        <w:rPr>
          <w:rFonts w:ascii="Verdana" w:eastAsia="Times New Roman" w:hAnsi="Verdana" w:cs="Times New Roman"/>
          <w:b/>
          <w:bCs/>
          <w:sz w:val="18"/>
          <w:szCs w:val="18"/>
          <w:lang w:eastAsia="de-DE"/>
        </w:rPr>
        <w:t>Kommentierungen/Buchbeiträge/Aufsätze/</w:t>
      </w:r>
      <w:proofErr w:type="gramStart"/>
      <w:r w:rsidRPr="00226232">
        <w:rPr>
          <w:rFonts w:ascii="Verdana" w:eastAsia="Times New Roman" w:hAnsi="Verdana" w:cs="Times New Roman"/>
          <w:b/>
          <w:bCs/>
          <w:sz w:val="18"/>
          <w:szCs w:val="18"/>
          <w:lang w:eastAsia="de-DE"/>
        </w:rPr>
        <w:t>Monographien</w:t>
      </w:r>
      <w:proofErr w:type="gramEnd"/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val="en-US" w:eastAsia="de-DE"/>
        </w:rPr>
        <w:t>Canessa/Escher/Koeberle-Schmid/Preller/Weber (Hrsg.), The Family Office – A practical guide to managing family wealth, 2019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Kommentierung des § 21 EStG (Vermietung und Verpachtung), in: Kanzler/Kraft/</w:t>
      </w: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Bäuml</w:t>
      </w:r>
      <w:proofErr w:type="spell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/</w:t>
      </w: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Hechtner</w:t>
      </w:r>
      <w:proofErr w:type="spell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/Marx, Einkommensteuergesetz Kommentar, 4. Aufl. 2019  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§ 27: Nießbrauch an Gesellschaftsanteilen / § 27a: Verpfändung von Gesellschaftsanteilen, in: Münchener Handbuch des Gesellschaftsrecht (Band 2: Kommanditgesellschaft, GmbH &amp; Co. KG, Publikums-KG, Stille Gesellschaft), Hrsg.: </w:t>
      </w: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Weipert</w:t>
      </w:r>
      <w:proofErr w:type="spell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/</w:t>
      </w: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Gummert</w:t>
      </w:r>
      <w:proofErr w:type="spell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, 5. Auflage, München, 2018 (zusammen mit Dr. Maximilian Haag) 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Kommentierung des § 5 ErbStG (Zugewinngemeinschaft), in: </w:t>
      </w: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Preißer</w:t>
      </w:r>
      <w:proofErr w:type="spell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/Rödl/Seltenreich (Hrsg.), Erbschaft- und Schenkungsteuer, Kompakt-Kommentar, 3. Aufl. 2018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Der Familienpool als Instrument zur strukturierten Nachfolgegestaltung, in: Riedel (Hrsg.), Immobilien in der Erbrechtspraxis, 2018, zusammen mit Dr. Ansgar Beckervordersandfort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Urteilsanmerkung zu BFH v. 24.10.2017 (II R 44/15, Erbschaftsteuerliche Begünstigung von Wohnungsvermietungsgesellschaften), ZEV 2018, 223, zusammen mit Hermann-Ulrich </w:t>
      </w: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Viskorf</w:t>
      </w:r>
      <w:proofErr w:type="spellEnd"/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(Keine) Erbschaftsteuerverschonung für Wohnungsunternehmen, BB 2018, 800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Kommentierung des § 21 EStG (Vermietung und Verpachtung), in: Kanzler/Kraft/</w:t>
      </w: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Bäuml</w:t>
      </w:r>
      <w:proofErr w:type="spell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/Marx/</w:t>
      </w: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Hechtner</w:t>
      </w:r>
      <w:proofErr w:type="spell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, Einkommensteuergesetz Kommentar, 3. Aufl. 2018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Stimmrechtsbindung und Poolverträge im Familienverbund, in: Fachanwaltshandbuch Handels- und Gesellschaftsrecht, Hrsg.: Wachter, 4. Aufl. 2017 (zusammen mit Dr. Maximilian Haag)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Kommentierung des § 21 EStG (Vermietung und Verpachtung), in: Kanzler/Kraft/</w:t>
      </w: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Bäuml</w:t>
      </w:r>
      <w:proofErr w:type="spell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, Einkommensteuergesetz Kommentar, 2. Aufl. 2017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Canessa</w:t>
      </w:r>
      <w:proofErr w:type="spell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/Escher/</w:t>
      </w: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Koeberle</w:t>
      </w:r>
      <w:proofErr w:type="spell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-Schmid/Preller/Weber (Hrsg.), Das </w:t>
      </w: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Familiy</w:t>
      </w:r>
      <w:proofErr w:type="spell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Office - Ein Praxisleitfaden, 2016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Kommentierung des § 21 EStG (Vermietung und Verpachtung), in: Kanzler/Kraft/</w:t>
      </w: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Bäuml</w:t>
      </w:r>
      <w:proofErr w:type="spell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, Einkommensteuergesetz Kommentar, 1. Aufl. 2016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Unionsrechtswidrigkeit des verminderten Freibetrages für beschränkt Steuerpflichtige gem. § 16 Abs. 2 ErbStG (Urteilsanmerkung), BB 2016, 1636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Zur Absicht des kurzfristigen Eigenhandels bei Finanzunternehmen </w:t>
      </w: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i.S.d</w:t>
      </w:r>
      <w:proofErr w:type="spell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. § 8b Abs. 7 S. 2 KStG (Urteilsanmerkung), BB 2016, 488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Der Referentenentwurf zum neuen Erbschaftsteuergesetz, in: </w:t>
      </w: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StB</w:t>
      </w:r>
      <w:proofErr w:type="spell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2015, 258 ff. (zusammen mit Dr. Mathias Birnbaum)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Anzeigepflicht für ausländische Zweigstellen inländischer Kreditinstitute für deutsche </w:t>
      </w:r>
      <w:proofErr w:type="gram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Erbschaftsteuerzwecke?,</w:t>
      </w:r>
      <w:proofErr w:type="gram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in: BB 2015, 355 f. (zusammen mit Dr. Swen </w:t>
      </w: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Bäuml</w:t>
      </w:r>
      <w:proofErr w:type="spell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)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Stimmrechtsbindung und Poolverträge im Familienverbund, in: Fachanwaltshandbuch Handels- und Gesellschaftsrecht, Hrsg.: Wachter, 3. Aufl. 2014 (zusammen mit Dr. Maximilian Haag)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Disquotale</w:t>
      </w:r>
      <w:proofErr w:type="spell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Gewinnverteilung bei Kapital- und Personengesellschaften, in: </w:t>
      </w: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DStR</w:t>
      </w:r>
      <w:proofErr w:type="spell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2014, 1413 ff. (zusammen mit Dr. Mathias Birnbaum)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§ 27: Nießbrauch an Gesellschaftsanteilen / § 27a: Verpfändung von Gesellschaftsanteilen, in: Münchener Handbuch des Gesellschaftsrecht (Band 2: Kommanditgesellschaft, GmbH &amp; Co. KG, Publikums-KG, Stille Gesellschaft), Hrsg.: </w:t>
      </w: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Weipert</w:t>
      </w:r>
      <w:proofErr w:type="spell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/</w:t>
      </w: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Gummert</w:t>
      </w:r>
      <w:proofErr w:type="spell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, 4. Auflage, München, 2014 (zusammen mit Dr. Maximilian Haag)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Kommentierung des § 5 ErbStG (Zugewinngemeinschaft), in: Rödl/</w:t>
      </w: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Preißer</w:t>
      </w:r>
      <w:proofErr w:type="spell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u.a. (Hrsg.), Erbschaft- und Schenkungsteuer, Kompakt-Kommentar, 2. Aufl. 2013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Vermögens- und Unternehmensnachfolgeplanung, in: Private Banking und Family Office, Hrsg.: Farkas-Richling/Fischer/Richter, 2. Aufl. Stuttgart 2012, 186-206 (zusammen mit Dr. Andreas Richter)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Versicherungen – Steuerliche Aspekte, in: Private Banking und Family Office, Hrsg.: Farkas-Richling/Fischer/Richter, 2. Aufl. Stuttgart 2012, 477-484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Strukturierung privater Großvermögen, in: Private Banking und Family Office, Hrsg.: Farkas-Richling/Fischer/Richter, 2. Aufl. Stuttgart 2012, 535-585 (zusammen mit Dr. Andreas Richter)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val="en-US" w:eastAsia="de-DE"/>
        </w:rPr>
        <w:t>Private Clients: Chapter Germany, in: Private Clients 2013, Getting the Deal through, Hrsg: Anthony Thompson, Nicole Aubin-Parvu, Law Business Research, 2012, 37-41 (zusammen mit Dr. Andreas Richter, Dr. Christian Lange)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val="en-US" w:eastAsia="de-DE"/>
        </w:rPr>
        <w:t xml:space="preserve">Private Client: Chapter Germany, in: The Private Wealth &amp; Private Client Review, Hrsg. </w:t>
      </w: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John </w:t>
      </w: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Riches</w:t>
      </w:r>
      <w:proofErr w:type="spell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, Law Business Research, ISBN 978–1-907606–42–7, 112-119 (zusammen mit Dr. Andreas Richter)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val="en-US" w:eastAsia="de-DE"/>
        </w:rPr>
        <w:t xml:space="preserve">Country Q &amp; A: Germany, in: PLC Multi-Jurisdictional Guide: Private Client 1011/12, 4. </w:t>
      </w: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Aufl. 2012, 115 ff. (zusammen mit Dr. Andreas Richter)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val="en-US" w:eastAsia="de-DE"/>
        </w:rPr>
        <w:lastRenderedPageBreak/>
        <w:t xml:space="preserve">Country Questions and Answers: Germany, in: The International Comparative Legal Guide to: Private Client 2012, Global Legal Group (Hrsg.), 2012, 67 ff. </w:t>
      </w: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(zusammen mit Dr. Andreas Richter)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Strukturierung privater Großvermögen, </w:t>
      </w: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ebook</w:t>
      </w:r>
      <w:proofErr w:type="spell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, Euroforum Verlag 2011 (zusammen mit Dr. Jens Steinmüller)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Gemeinschaftsrechtswidrige Qualifikation einer deutschen Kapitalgesellschaft als ausländischer Kapitalanlagefonds i. S. des österreichischen </w:t>
      </w: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InvFG</w:t>
      </w:r>
      <w:proofErr w:type="spell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, </w:t>
      </w: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IStR</w:t>
      </w:r>
      <w:proofErr w:type="spell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2011, 686 f.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Stimmrechtsvereinbarungen im Rahmen von Poolverträgen und § 8c KStG, Finanz-Rundschau (FR) 2011, 760 ff. (zusammen mit Dr. Andreas Richter)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Stimmrechtsbindung und Poolverträge im Familienverbund, in: Fachanwaltshandbuch Handels- und Gesellschaftsrecht, Hrsg.: Wachter, 2. Aufl. 2010 (zusammen mit Dr. Andreas Richter)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val="en-US" w:eastAsia="de-DE"/>
        </w:rPr>
        <w:t xml:space="preserve">Introduction of a New Inheritance and Gift Tax Law in Germany, in: The Offshore &amp; International Taxation Review, Vol. 14, Issue 3, 2010, 15 ff. </w:t>
      </w: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(zusammen mit Dr. Andreas Richter)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Produkte im Private Banking: Versicherungen, in: Private Banking und Family Office, Hrsg.: Farkas-Richling/Fischer/Richter, Stuttgart, 2009 (zusammen mit Rainer </w:t>
      </w: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Stolten</w:t>
      </w:r>
      <w:proofErr w:type="spell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)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Family Office: Strukturierung privater Großvermögen, in: Private Banking und Family Office, Hrsg.: Farkas-Richling/Fischer/Richter, Stuttgart, 2009 (zusammen mit Dr. Andreas Richter)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§ 27: Nießbrauch an Gesellschaftsanteilen / § 27a: Verpfändung von Gesellschaftsanteilen, in: Münchener Handbuch des Gesellschaftsrecht (Band 2: Kommanditgesellschaft, GmbH &amp; Co. KG, Publikums-KG, Stille Gesellschaft), Hrsg.: </w:t>
      </w: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Weipert</w:t>
      </w:r>
      <w:proofErr w:type="spell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/</w:t>
      </w: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Gummert</w:t>
      </w:r>
      <w:proofErr w:type="spell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, 3. Auflage, München, 2009, 532 ff.(zusammen mit Dr. Andreas Richter)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Schenkung unter Vorbehalt - einkommensteuerliche und </w:t>
      </w: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schenkungsteuerliche</w:t>
      </w:r>
      <w:proofErr w:type="spell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Konsequenzen, in: Forum Steuerrecht 2008, Nomos, 2009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Widerruflichkeit des Antrags auf Anwendung des neuen Erbschaftsteuerrechts (Art. 3 Abs. 3 des ErbStRG), in: Finanz-Rundschau (FR), 16/2009, 755 ff. (zusammen mit Dr. Andreas Richter)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val="en-US" w:eastAsia="de-DE"/>
        </w:rPr>
        <w:t>Reform of the German Inheritance and Gift Tax Law, in: JUVE Handbook 2009, 186 f. (zusammen mit Dr. Andreas Richter)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val="en-US" w:eastAsia="de-DE"/>
        </w:rPr>
        <w:t>Reform of the German Inheritance and Gift Tax Law, in: Trust Quarterly Review (TQR), 07/2009, 32 f. (zusammen mit Dr. Andreas Richter)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Reform der deutschen Erbschaft- und Schenkungsteuer, in: </w:t>
      </w: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Taxlex</w:t>
      </w:r>
      <w:proofErr w:type="spell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, 2/2009, 60 ff. (zusammen mit Dr. Andreas Richter)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Reform der deutschen Erbschaft- und Schenkungsteuer, in: Private - Das Magazin für Vermögensberatung und Private Banking, </w:t>
      </w: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Taxes</w:t>
      </w:r>
      <w:proofErr w:type="spell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</w:t>
      </w: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around</w:t>
      </w:r>
      <w:proofErr w:type="spell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</w:t>
      </w: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the</w:t>
      </w:r>
      <w:proofErr w:type="spell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</w:t>
      </w: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world</w:t>
      </w:r>
      <w:proofErr w:type="spell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, 1/2009, 56 ff. (zusammen mit Dr. Andreas Richter)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Schenkung unter Vorbehalt - einkommen- und </w:t>
      </w: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schenkungsteuerliche</w:t>
      </w:r>
      <w:proofErr w:type="spell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Konsequenzen, in: Finanz-Rundschau (FR), 21/2008, 985 ff.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val="en-US" w:eastAsia="de-DE"/>
        </w:rPr>
        <w:t>Reform of the German Inheritance and Gift Tax Law - Uncertainty for Business Successions, in: JUVE Handbook, 2008, 177 f. (zusammen mit Dr. Andreas Richter)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val="en-US" w:eastAsia="de-DE"/>
        </w:rPr>
        <w:t xml:space="preserve">Introduction of a Flat Tax on Capital Income in Germany, in: Trust Quarterly Review (TQR), 2008, 18 ff. </w:t>
      </w: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(zusammen mit Dr. Andreas Richter)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Die Familien-GmbH &amp; Co. KG unter Beteiligung Minderjähriger, in: Transaktionen, Vermögen, Pro Bono, Festschrift zum zehnjährigen Bestehen von P+P Pöllath + Partner, 2008, 315 ff. (zusammen mit Dr. Andreas Richter und Heinrich </w:t>
      </w: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Reuss</w:t>
      </w:r>
      <w:proofErr w:type="spell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)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Wegzugsbesteuerung nach dem </w:t>
      </w: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SEStEG</w:t>
      </w:r>
      <w:proofErr w:type="spell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, in: JUVE Handbuch 2007/2008, Wirtschaftskanzleien, 2008, 228 f. (zusammen mit Dr. Andreas Richter)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German Exit Taxation, in: Trust Quarterly Review (TQR) 2007, 17 f. (zusammen mit Dr. Andreas Richter)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Deutsche Wegzugsbesteuerung bei natürlichen Personen nach dem </w:t>
      </w: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SEStEG</w:t>
      </w:r>
      <w:proofErr w:type="spell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im Lichte der EuGH-Rechtsprechung, in: Finanz-Rundschau 2007, 674 ff. (zusammen mit Dr. Andreas Richter)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Kommentierung des § 15 AO: Angehörige, in: Hübschmann/Hepp/Spitaler, AO - FGO Kommentar, 188. Lieferung, Köln, März 2006 (zusammen mit Prof. Dr. Dieter Birk)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Examenshausarbeit Öffentliches Recht: Volksgesetzgebung und Abgeordnetenbezüge, </w:t>
      </w: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NWVBl</w:t>
      </w:r>
      <w:proofErr w:type="spell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. 2005, 117 (zusammen mit Henning Tappe)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Steuerliche Liebhaberei und Subjektbezug der </w:t>
      </w: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Einkünfteerzielungsabsicht</w:t>
      </w:r>
      <w:proofErr w:type="spell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(</w:t>
      </w: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Diss</w:t>
      </w:r>
      <w:proofErr w:type="spell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. Münster 2005)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Kommentierung des § 12 AO: Betriebstätte, in: Hübschmann/Hepp/Spitaler, AO - FGO Kommentar, 182. Lieferung, Köln, September 2004 (zusammen mit Prof. Dr. Dieter Birk)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Kommentierung des § 13 AO: Ständiger Vertreter, in: Hübschmann/Hepp/Spitaler, AO - FGO Kommentar, 182. Lieferung, Köln, September 2004 (zusammen mit Prof. Dr. Dieter Birk)</w:t>
      </w:r>
    </w:p>
    <w:p w:rsidR="00226232" w:rsidRPr="00226232" w:rsidRDefault="00226232" w:rsidP="00226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lastRenderedPageBreak/>
        <w:t>Vertrauensschutz im Bereich der privaten Veräußerungsgewinne (Vortrag von BFH-Vizepräsident Wolfgang Spindler beim Westfälischen Steuerkreis e.V.), in: Die Steuerberatung, 2004, M6 f.</w:t>
      </w:r>
    </w:p>
    <w:p w:rsidR="00226232" w:rsidRPr="00226232" w:rsidRDefault="00226232" w:rsidP="00226232">
      <w:pPr>
        <w:spacing w:before="120" w:after="120" w:line="240" w:lineRule="auto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b/>
          <w:bCs/>
          <w:sz w:val="18"/>
          <w:szCs w:val="18"/>
          <w:lang w:eastAsia="de-DE"/>
        </w:rPr>
        <w:t>Beiträge zum Online Steuerboard von Handelsblatt/Der Betrieb</w:t>
      </w:r>
    </w:p>
    <w:p w:rsidR="00226232" w:rsidRPr="00226232" w:rsidRDefault="00226232" w:rsidP="002262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Erbschaftsteuerverschonung für Wohnungsunternehmen – Alles bleibt beim Alten, 15.05.2018</w:t>
      </w:r>
    </w:p>
    <w:p w:rsidR="00226232" w:rsidRPr="00226232" w:rsidRDefault="00226232" w:rsidP="002262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(Keine) Erbschaftsteuerverschonung für Wohnungsunternehmen, 26.02.2018</w:t>
      </w:r>
    </w:p>
    <w:p w:rsidR="00226232" w:rsidRPr="00226232" w:rsidRDefault="00226232" w:rsidP="002262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Wegzug natürlicher Personen – Steuerstundung auch bei Wegzug in die </w:t>
      </w:r>
      <w:proofErr w:type="gram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Schweiz?,</w:t>
      </w:r>
      <w:proofErr w:type="gram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08.11.2017</w:t>
      </w:r>
    </w:p>
    <w:p w:rsidR="00226232" w:rsidRPr="00226232" w:rsidRDefault="00226232" w:rsidP="002262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Offene und geschlossene Fonds in der Erbschaftsteuer - Besteuerung des gemeinen </w:t>
      </w:r>
      <w:proofErr w:type="gram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Werts?,</w:t>
      </w:r>
      <w:proofErr w:type="gram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in: Handelsblatt online, Steuerboard, 15.06.2016</w:t>
      </w:r>
    </w:p>
    <w:p w:rsidR="00226232" w:rsidRPr="00226232" w:rsidRDefault="00226232" w:rsidP="002262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Absicht eines kurzfristigen Eigenhandelserfolges: erstmaliger Bilanzausweis doch kein so maßgebliches </w:t>
      </w:r>
      <w:proofErr w:type="gram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Indiz?,</w:t>
      </w:r>
      <w:proofErr w:type="gram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in: Handelsblatt online, Steuerboard 28.01.2016</w:t>
      </w:r>
    </w:p>
    <w:p w:rsidR="00226232" w:rsidRPr="00226232" w:rsidRDefault="00226232" w:rsidP="002262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Schenkungsteuer bei Zuwendungen ausländischer </w:t>
      </w:r>
      <w:proofErr w:type="gram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Stiftungen?,</w:t>
      </w:r>
      <w:proofErr w:type="gram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in: Handelsblatt online, Steuerboard, 02.09.2015</w:t>
      </w:r>
    </w:p>
    <w:p w:rsidR="00226232" w:rsidRPr="00226232" w:rsidRDefault="00226232" w:rsidP="002262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Steuerfreie Übertragung von Kunstgegenständen und Kunstsammlungen - Gestaltungsmöglichkeiten für das Privatvermögen, in: Handelsblatt online, Steuerboard, 13.05.2015</w:t>
      </w:r>
    </w:p>
    <w:p w:rsidR="00226232" w:rsidRPr="00226232" w:rsidRDefault="00226232" w:rsidP="002262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Unternehmerische Nachfolgeplanung - Pflichtteils- und Zugewinnausgleichsansprüche bergen erhebliche steuerliche Risiken, in: Handelsblatt online, Steuerboard, 04.12.2014</w:t>
      </w:r>
    </w:p>
    <w:p w:rsidR="00226232" w:rsidRPr="00226232" w:rsidRDefault="00226232" w:rsidP="002262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Erbschaftsteuerliche Optionsverschonung und Anforderungen an Poolverträge, in: Handelsblatt online, Steuerboard, 16.06.2014</w:t>
      </w:r>
    </w:p>
    <w:p w:rsidR="00226232" w:rsidRPr="00226232" w:rsidRDefault="00226232" w:rsidP="002262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Neues zu inkongruenten Gewinnausschüttungen von (Familien-)Kapitalgesellschaften, in: Handelsblatt online, Steuerboard, 15.01.2014</w:t>
      </w:r>
    </w:p>
    <w:p w:rsidR="00226232" w:rsidRPr="00226232" w:rsidRDefault="00226232" w:rsidP="002262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Verrechnung von „Altverlusten” mit Kapitalerträgen nur noch 2013 möglich, in: Handelsblatt online, Steuerboard, 21.08.2013</w:t>
      </w:r>
    </w:p>
    <w:p w:rsidR="00226232" w:rsidRPr="00226232" w:rsidRDefault="00226232" w:rsidP="002262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Amtshaftung der Steuerbehörden – Wo verläuft die Grenze der „Kostenfreiheit des Einspruchsverfahrens?“, in: Handelsblatt online, Steuerboard, 10.07.2013</w:t>
      </w:r>
    </w:p>
    <w:p w:rsidR="00226232" w:rsidRPr="00226232" w:rsidRDefault="00226232" w:rsidP="002262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Berücksichtigung von Werbungskosten bei den Einkünften aus Kapitalvermögen? In: Handelsblatt online, Steuerboard, 10.04.2013</w:t>
      </w:r>
    </w:p>
    <w:p w:rsidR="00226232" w:rsidRPr="00226232" w:rsidRDefault="00226232" w:rsidP="002262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Besteuerung von Trust-Ausschüttungen an inländische Begünstigte – Doppelbesteuerung durch Einkommen- und Schenkungsteuer? In: Handelsblatt online, Steuerboard, 13.03.2013</w:t>
      </w:r>
    </w:p>
    <w:p w:rsidR="00226232" w:rsidRPr="00226232" w:rsidRDefault="00226232" w:rsidP="002262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Schenkungsteuerpflicht</w:t>
      </w:r>
      <w:proofErr w:type="spell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bei zinslosen Darlehen, in: Handelsblatt online, Steuerboard, 05.12.2012</w:t>
      </w:r>
    </w:p>
    <w:p w:rsidR="00226232" w:rsidRPr="00226232" w:rsidRDefault="00226232" w:rsidP="002262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Europarechtswidrige Verschärfung der Besteuerung ausländischer Familienstiftungen im EU/EWR-Raum durch das </w:t>
      </w:r>
      <w:proofErr w:type="spellStart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>JStG</w:t>
      </w:r>
      <w:proofErr w:type="spellEnd"/>
      <w:r w:rsidRPr="0022623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2013, in: Handelsblatt online, Steuerboard, 01.08.2012</w:t>
      </w:r>
    </w:p>
    <w:bookmarkEnd w:id="0"/>
    <w:p w:rsidR="00ED5833" w:rsidRPr="00226232" w:rsidRDefault="00226232"/>
    <w:sectPr w:rsidR="00ED5833" w:rsidRPr="002262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C91"/>
    <w:multiLevelType w:val="multilevel"/>
    <w:tmpl w:val="011C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FE7F33"/>
    <w:multiLevelType w:val="multilevel"/>
    <w:tmpl w:val="4506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32"/>
    <w:rsid w:val="00226232"/>
    <w:rsid w:val="005D4395"/>
    <w:rsid w:val="00B7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6DFDC-7351-4C05-9AFA-FB2CA110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26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2623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1488</Words>
  <Characters>9381</Characters>
  <Application>Microsoft Office Word</Application>
  <DocSecurity>0</DocSecurity>
  <Lines>78</Lines>
  <Paragraphs>21</Paragraphs>
  <ScaleCrop>false</ScaleCrop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ms993585</dc:creator>
  <cp:keywords/>
  <dc:description/>
  <cp:lastModifiedBy>ms993585</cp:lastModifiedBy>
  <cp:revision>1</cp:revision>
  <dcterms:created xsi:type="dcterms:W3CDTF">2020-05-15T07:31:00Z</dcterms:created>
  <dcterms:modified xsi:type="dcterms:W3CDTF">2020-05-15T07:32:00Z</dcterms:modified>
</cp:coreProperties>
</file>