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32" w:rsidRPr="00226232" w:rsidRDefault="00226232" w:rsidP="00226232">
      <w:pPr>
        <w:spacing w:before="120" w:after="120" w:line="240" w:lineRule="auto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  <w:bookmarkStart w:id="0" w:name="_GoBack"/>
      <w:r w:rsidRPr="00226232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Kommentierungen/Buchbeiträge/Aufsätze/</w:t>
      </w:r>
      <w:proofErr w:type="gramStart"/>
      <w:r w:rsidRPr="00226232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Monographien</w:t>
      </w:r>
      <w:proofErr w:type="gramEnd"/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>Canessa/Escher/Koeberle-Schmid/Preller/Weber (Hrsg.), The Family Office – A practical guide to managing family wealth, 2019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21 EStG (Vermietung und Verpachtung), in: Kanzler/Kraft/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Bäuml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Hechtner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/Marx, Einkommensteuergesetz Kommentar, 4. Aufl. 2019  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§ 27: Nießbrauch an Gesellschaftsanteilen / § 27a: Verpfändung von Gesellschaftsanteilen, in: Münchener Handbuch des Gesellschaftsrecht (Band 2: Kommanditgesellschaft, GmbH &amp; Co. KG, Publikums-KG, Stille Gesellschaft), Hrsg.: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Weipert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Gummert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5. Auflage, München, 2018 (zusammen mit Dr. Maximilian Haag) 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Kommentierung des § 5 ErbStG (Zugewinngemeinschaft), in: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Preißer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/Rödl/Seltenreich (Hrsg.), Erbschaft- und Schenkungsteuer, Kompakt-Kommentar, 3. Aufl. 2018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Der Familienpool als Instrument zur strukturierten Nachfolgegestaltung, in: Riedel (Hrsg.), Immobilien in der Erbrechtspraxis, 2018, zusammen mit Dr. Ansgar Beckervordersandfort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Urteilsanmerkung zu BFH v. 24.10.2017 (II R 44/15, Erbschaftsteuerliche Begünstigung von Wohnungsvermietungsgesellschaften), ZEV 2018, 223, zusammen mit Hermann-Ulrich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Viskorf</w:t>
      </w:r>
      <w:proofErr w:type="spellEnd"/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(Keine) Erbschaftsteuerverschonung für Wohnungsunternehmen, BB 2018, 800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21 EStG (Vermietung und Verpachtung), in: Kanzler/Kraft/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Bäuml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/Marx/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Hechtner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Einkommensteuergesetz Kommentar, 3. Aufl. 2018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Stimmrechtsbindung und Poolverträge im Familienverbund, in: Fachanwaltshandbuch Handels- und Gesellschaftsrecht, Hrsg.: Wachter, 4. Aufl. 2017 (zusammen mit Dr. Maximilian Haag)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21 EStG (Vermietung und Verpachtung), in: Kanzler/Kraft/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Bäuml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Einkommensteuergesetz Kommentar, 2. Aufl. 2017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Canessa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/Escher/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Koeberle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-Schmid/Preller/Weber (Hrsg.), Das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Familiy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Office - Ein Praxisleitfaden, 2016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21 EStG (Vermietung und Verpachtung), in: Kanzler/Kraft/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Bäuml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Einkommensteuergesetz Kommentar, 1. Aufl. 2016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Unionsrechtswidrigkeit des verminderten Freibetrages für beschränkt Steuerpflichtige gem. § 16 Abs. 2 ErbStG (Urteilsanmerkung), BB 2016, 1636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Zur Absicht des kurzfristigen Eigenhandels bei Finanzunternehmen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i.S.d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. § 8b Abs. 7 S. 2 KStG (Urteilsanmerkung), BB 2016, 488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Der Referentenentwurf zum neuen Erbschaftsteuergesetz, in: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StB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2015, 258 ff. (zusammen mit Dr. Mathias Birnbaum)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Anzeigepflicht für ausländische Zweigstellen inländischer Kreditinstitute für deutsche </w:t>
      </w:r>
      <w:proofErr w:type="gram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Erbschaftsteuerzwecke?,</w:t>
      </w:r>
      <w:proofErr w:type="gram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in: BB 2015, 355 f. (zusammen mit Dr. Swen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Bäuml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Stimmrechtsbindung und Poolverträge im Familienverbund, in: Fachanwaltshandbuch Handels- und Gesellschaftsrecht, Hrsg.: Wachter, 3. Aufl. 2014 (zusammen mit Dr. Maximilian Haag)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Disquotale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Gewinnverteilung bei Kapital- und Personengesellschaften, in: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DStR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2014, 1413 ff. (zusammen mit Dr. Mathias Birnbaum)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§ 27: Nießbrauch an Gesellschaftsanteilen / § 27a: Verpfändung von Gesellschaftsanteilen, in: Münchener Handbuch des Gesellschaftsrecht (Band 2: Kommanditgesellschaft, GmbH &amp; Co. KG, Publikums-KG, Stille Gesellschaft), Hrsg.: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Weipert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Gummert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4. Auflage, München, 2014 (zusammen mit Dr. Maximilian Haag)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5 ErbStG (Zugewinngemeinschaft), in: Rödl/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Preißer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u.a. (Hrsg.), Erbschaft- und Schenkungsteuer, Kompakt-Kommentar, 2. Aufl. 2013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Vermögens- und Unternehmensnachfolgeplanung, in: Private Banking und Family Office, Hrsg.: Farkas-Richling/Fischer/Richter, 2. Aufl. Stuttgart 2012, 186-206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Versicherungen – Steuerliche Aspekte, in: Private Banking und Family Office, Hrsg.: Farkas-Richling/Fischer/Richter, 2. Aufl. Stuttgart 2012, 477-484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Strukturierung privater Großvermögen, in: Private Banking und Family Office, Hrsg.: Farkas-Richling/Fischer/Richter, 2. Aufl. Stuttgart 2012, 535-585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>Private Clients: Chapter Germany, in: Private Clients 2013, Getting the Deal through, Hrsg: Anthony Thompson, Nicole Aubin-Parvu, Law Business Research, 2012, 37-41 (zusammen mit Dr. Andreas Richter, Dr. Christian Lange)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 xml:space="preserve">Private Client: Chapter Germany, in: The Private Wealth &amp; Private Client Review, Hrsg. </w:t>
      </w: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John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Riches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Law Business Research, ISBN 978–1-907606–42–7, 112-119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 xml:space="preserve">Country Q &amp; A: Germany, in: PLC Multi-Jurisdictional Guide: Private Client 1011/12, 4. </w:t>
      </w: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Aufl. 2012, 115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lastRenderedPageBreak/>
        <w:t xml:space="preserve">Country Questions and Answers: Germany, in: The International Comparative Legal Guide to: Private Client 2012, Global Legal Group (Hrsg.), 2012, 67 ff. </w:t>
      </w: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Strukturierung privater Großvermögen,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ebook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Euroforum Verlag 2011 (zusammen mit Dr. Jens Steinmüller)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Gemeinschaftsrechtswidrige Qualifikation einer deutschen Kapitalgesellschaft als ausländischer Kapitalanlagefonds i. S. des österreichischen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InvFG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,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IStR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2011, 686 f.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Stimmrechtsvereinbarungen im Rahmen von Poolverträgen und § 8c KStG, Finanz-Rundschau (FR) 2011, 760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Stimmrechtsbindung und Poolverträge im Familienverbund, in: Fachanwaltshandbuch Handels- und Gesellschaftsrecht, Hrsg.: Wachter, 2. Aufl. 2010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 xml:space="preserve">Introduction of a New Inheritance and Gift Tax Law in Germany, in: The Offshore &amp; International Taxation Review, Vol. 14, Issue 3, 2010, 15 ff. </w:t>
      </w: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Produkte im Private Banking: Versicherungen, in: Private Banking und Family Office, Hrsg.: Farkas-Richling/Fischer/Richter, Stuttgart, 2009 (zusammen mit Rainer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Stolten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Family Office: Strukturierung privater Großvermögen, in: Private Banking und Family Office, Hrsg.: Farkas-Richling/Fischer/Richter, Stuttgart, 2009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§ 27: Nießbrauch an Gesellschaftsanteilen / § 27a: Verpfändung von Gesellschaftsanteilen, in: Münchener Handbuch des Gesellschaftsrecht (Band 2: Kommanditgesellschaft, GmbH &amp; Co. KG, Publikums-KG, Stille Gesellschaft), Hrsg.: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Weipert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/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Gummert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3. Auflage, München, 2009, 532 ff.(zusammen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Schenkung unter Vorbehalt - einkommensteuerliche und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schenkungsteuerliche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Konsequenzen, in: Forum Steuerrecht 2008, Nomos, 2009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Widerruflichkeit des Antrags auf Anwendung des neuen Erbschaftsteuerrechts (Art. 3 Abs. 3 des ErbStRG), in: Finanz-Rundschau (FR), 16/2009, 755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>Reform of the German Inheritance and Gift Tax Law, in: JUVE Handbook 2009, 186 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>Reform of the German Inheritance and Gift Tax Law, in: Trust Quarterly Review (TQR), 07/2009, 32 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Reform der deutschen Erbschaft- und Schenkungsteuer, in: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Taxlex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2/2009, 60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Reform der deutschen Erbschaft- und Schenkungsteuer, in: Private - Das Magazin für Vermögensberatung und Private Banking,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Taxes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around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the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world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1/2009, 56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Schenkung unter Vorbehalt - einkommen- und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schenkungsteuerliche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Konsequenzen, in: Finanz-Rundschau (FR), 21/2008, 985 ff.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>Reform of the German Inheritance and Gift Tax Law - Uncertainty for Business Successions, in: JUVE Handbook, 2008, 177 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val="en-US" w:eastAsia="de-DE"/>
        </w:rPr>
        <w:t xml:space="preserve">Introduction of a Flat Tax on Capital Income in Germany, in: Trust Quarterly Review (TQR), 2008, 18 ff. </w:t>
      </w: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Die Familien-GmbH &amp; Co. KG unter Beteiligung Minderjähriger, in: Transaktionen, Vermögen, Pro Bono, Festschrift zum zehnjährigen Bestehen von P+P Pöllath + Partner, 2008, 315 ff. (zusammen mit Dr. Andreas Richter und Heinrich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Reuss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Wegzugsbesteuerung nach dem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SEStEG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, in: JUVE Handbuch 2007/2008, Wirtschaftskanzleien, 2008, 228 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German Exit Taxation, in: Trust Quarterly Review (TQR) 2007, 17 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Deutsche Wegzugsbesteuerung bei natürlichen Personen nach dem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SEStEG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im Lichte der EuGH-Rechtsprechung, in: Finanz-Rundschau 2007, 674 ff. (zusammen mit Dr. Andreas Richter)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15 AO: Angehörige, in: Hübschmann/Hepp/Spitaler, AO - FGO Kommentar, 188. Lieferung, Köln, März 2006 (zusammen mit Prof. Dr. Dieter Birk)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Examenshausarbeit Öffentliches Recht: Volksgesetzgebung und Abgeordnetenbezüge,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NWVBl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. 2005, 117 (zusammen mit Henning Tappe)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Steuerliche Liebhaberei und Subjektbezug der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Einkünfteerzielungsabsicht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(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Diss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. Münster 2005)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12 AO: Betriebstätte, in: Hübschmann/Hepp/Spitaler, AO - FGO Kommentar, 182. Lieferung, Köln, September 2004 (zusammen mit Prof. Dr. Dieter Birk)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Kommentierung des § 13 AO: Ständiger Vertreter, in: Hübschmann/Hepp/Spitaler, AO - FGO Kommentar, 182. Lieferung, Köln, September 2004 (zusammen mit Prof. Dr. Dieter Birk)</w:t>
      </w:r>
    </w:p>
    <w:p w:rsidR="00226232" w:rsidRPr="00226232" w:rsidRDefault="00226232" w:rsidP="00226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lastRenderedPageBreak/>
        <w:t>Vertrauensschutz im Bereich der privaten Veräußerungsgewinne (Vortrag von BFH-Vizepräsident Wolfgang Spindler beim Westfälischen Steuerkreis e.V.), in: Die Steuerberatung, 2004, M6 f.</w:t>
      </w:r>
    </w:p>
    <w:p w:rsidR="00226232" w:rsidRPr="00226232" w:rsidRDefault="00226232" w:rsidP="00226232">
      <w:pPr>
        <w:spacing w:before="120" w:after="120" w:line="240" w:lineRule="auto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Beiträge zum Online Steuerboard von Handelsblatt/Der Betrieb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Erbschaftsteuerverschonung für Wohnungsunternehmen – Alles bleibt beim Alten, 15.05.2018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(Keine) Erbschaftsteuerverschonung für Wohnungsunternehmen, 26.02.2018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Wegzug natürlicher Personen – Steuerstundung auch bei Wegzug in die </w:t>
      </w:r>
      <w:proofErr w:type="gram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Schweiz?,</w:t>
      </w:r>
      <w:proofErr w:type="gram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08.11.2017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Offene und geschlossene Fonds in der Erbschaftsteuer - Besteuerung des gemeinen </w:t>
      </w:r>
      <w:proofErr w:type="gram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Werts?,</w:t>
      </w:r>
      <w:proofErr w:type="gram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in: Handelsblatt online, Steuerboard, 15.06.2016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Absicht eines kurzfristigen Eigenhandelserfolges: erstmaliger Bilanzausweis doch kein so maßgebliches </w:t>
      </w:r>
      <w:proofErr w:type="gram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Indiz?,</w:t>
      </w:r>
      <w:proofErr w:type="gram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in: Handelsblatt online, Steuerboard 28.01.2016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Schenkungsteuer bei Zuwendungen ausländischer </w:t>
      </w:r>
      <w:proofErr w:type="gram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Stiftungen?,</w:t>
      </w:r>
      <w:proofErr w:type="gram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in: Handelsblatt online, Steuerboard, 02.09.2015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Steuerfreie Übertragung von Kunstgegenständen und Kunstsammlungen - Gestaltungsmöglichkeiten für das Privatvermögen, in: Handelsblatt online, Steuerboard, 13.05.2015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Unternehmerische Nachfolgeplanung - Pflichtteils- und Zugewinnausgleichsansprüche bergen erhebliche steuerliche Risiken, in: Handelsblatt online, Steuerboard, 04.12.2014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Erbschaftsteuerliche Optionsverschonung und Anforderungen an Poolverträge, in: Handelsblatt online, Steuerboard, 16.06.2014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Neues zu inkongruenten Gewinnausschüttungen von (Familien-)Kapitalgesellschaften, in: Handelsblatt online, Steuerboard, 15.01.2014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Verrechnung von „Altverlusten” mit Kapitalerträgen nur noch 2013 möglich, in: Handelsblatt online, Steuerboard, 21.08.2013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Amtshaftung der Steuerbehörden – Wo verläuft die Grenze der „Kostenfreiheit des Einspruchsverfahrens?“, in: Handelsblatt online, Steuerboard, 10.07.2013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Berücksichtigung von Werbungskosten bei den Einkünften aus Kapitalvermögen? In: Handelsblatt online, Steuerboard, 10.04.2013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Besteuerung von Trust-Ausschüttungen an inländische Begünstigte – Doppelbesteuerung durch Einkommen- und Schenkungsteuer? In: Handelsblatt online, Steuerboard, 13.03.2013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Schenkungsteuerpflicht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bei zinslosen Darlehen, in: Handelsblatt online, Steuerboard, 05.12.2012</w:t>
      </w:r>
    </w:p>
    <w:p w:rsidR="00226232" w:rsidRPr="00226232" w:rsidRDefault="00226232" w:rsidP="002262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Europarechtswidrige Verschärfung der Besteuerung ausländischer Familienstiftungen im EU/EWR-Raum durch das </w:t>
      </w:r>
      <w:proofErr w:type="spellStart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>JStG</w:t>
      </w:r>
      <w:proofErr w:type="spellEnd"/>
      <w:r w:rsidRPr="00226232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2013, in: Handelsblatt online, Steuerboard, 01.08.2012</w:t>
      </w:r>
    </w:p>
    <w:bookmarkEnd w:id="0"/>
    <w:p w:rsidR="00ED5833" w:rsidRPr="00226232" w:rsidRDefault="00226232"/>
    <w:sectPr w:rsidR="00ED5833" w:rsidRPr="002262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C91"/>
    <w:multiLevelType w:val="multilevel"/>
    <w:tmpl w:val="011C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E7F33"/>
    <w:multiLevelType w:val="multilevel"/>
    <w:tmpl w:val="4506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32"/>
    <w:rsid w:val="00226232"/>
    <w:rsid w:val="005D4395"/>
    <w:rsid w:val="00B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DFDC-7351-4C05-9AFA-FB2CA110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26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2623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9381</Characters>
  <Application>Microsoft Office Word</Application>
  <DocSecurity>0</DocSecurity>
  <Lines>78</Lines>
  <Paragraphs>21</Paragraphs>
  <ScaleCrop>false</ScaleCrop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ms993585</dc:creator>
  <cp:keywords/>
  <dc:description/>
  <cp:lastModifiedBy>ms993585</cp:lastModifiedBy>
  <cp:revision>1</cp:revision>
  <dcterms:created xsi:type="dcterms:W3CDTF">2020-05-15T07:31:00Z</dcterms:created>
  <dcterms:modified xsi:type="dcterms:W3CDTF">2020-05-15T07:32:00Z</dcterms:modified>
</cp:coreProperties>
</file>