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8" w:rsidRPr="00F729E8" w:rsidRDefault="00F729E8" w:rsidP="00F729E8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Monographien</w:t>
      </w:r>
    </w:p>
    <w:p w:rsidR="00F729E8" w:rsidRPr="00F729E8" w:rsidRDefault="00F729E8" w:rsidP="00F729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Der Grundsatz der Rechtsformneutralität aus verfassungsrechtlicher Perspektive, (Habil.), 2013,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Veröffentlichung (noch) geplant</w:t>
      </w:r>
    </w:p>
    <w:p w:rsidR="00F729E8" w:rsidRPr="00F729E8" w:rsidRDefault="00F729E8" w:rsidP="00F729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Bauten auf fremdem Grund und Boden im Umsatzsteuerrecht – Lieferung, Weiterlieferung und Vorsteuerabzug, DWS Verlag, Berlin 2009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Diss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.)</w:t>
      </w:r>
    </w:p>
    <w:p w:rsidR="00F729E8" w:rsidRPr="00F729E8" w:rsidRDefault="00F729E8" w:rsidP="00F729E8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Beiträge in Fachzeitschriften</w:t>
      </w:r>
    </w:p>
    <w:p w:rsidR="00BA5386" w:rsidRPr="00BA5386" w:rsidRDefault="00BA5386" w:rsidP="00BA5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Zum Umfang des Vorsteuerabzugs bei Investitionen in die „Zukunft“ – Ausschließliche Zurechnung steuerbelasteter Eingangsleistungen zu der potentiellen (steuerfreien) Veräußerung von Beteiligungen an Startup-Unternehmen?,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MwStR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 2021, S. 832–840</w:t>
      </w:r>
    </w:p>
    <w:p w:rsidR="00BA5386" w:rsidRPr="00BA5386" w:rsidRDefault="00BA5386" w:rsidP="00BA53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Änderungen beim Informationsaustausch und bei koordinierten Prüfungen durch die DAC7 (zusammen mit Thomas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Sendke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),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IStR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 2021, S. 784–789 (Teil 1) und S. 840–847 (Teil 2)</w:t>
      </w:r>
    </w:p>
    <w:p w:rsidR="00BA5386" w:rsidRPr="00BA5386" w:rsidRDefault="00BA5386" w:rsidP="00F112D2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Ertragsbesteuerung im Zeitalter der Digitalisierung: umsatzbasierte Steuern als Alternative zur herkömmlichen Gewinnbesteuerung?, ISR 2021, S. 216–225</w:t>
      </w:r>
    </w:p>
    <w:p w:rsidR="00BA5386" w:rsidRPr="00BA5386" w:rsidRDefault="00BA5386" w:rsidP="00BA5386">
      <w:pPr>
        <w:pStyle w:val="Listenabsatz"/>
        <w:numPr>
          <w:ilvl w:val="0"/>
          <w:numId w:val="2"/>
        </w:numPr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Zur umsatzsteuerrechtlichen Beurteilung der gemeinsamen Berufung von Professoren nach dem sog. Berliner Modell (zusammen mit </w:t>
      </w:r>
      <w:proofErr w:type="spellStart"/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>StB</w:t>
      </w:r>
      <w:proofErr w:type="spellEnd"/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Anja Richter und </w:t>
      </w:r>
      <w:proofErr w:type="spellStart"/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>StB</w:t>
      </w:r>
      <w:proofErr w:type="spellEnd"/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Dirk Schneider), UR 2021, S. 621–628</w:t>
      </w:r>
    </w:p>
    <w:p w:rsidR="00BA5386" w:rsidRDefault="00BA5386" w:rsidP="00B7692C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>Zum zutreffenden Umgang mit Urteilen des Europäischen Gerichtshof – am Beispiel des angeblich in seiner derzeitigen Fassung nicht zu rettenden § 4 Nr. 13 UStG, UR 2021, S. 173–182</w:t>
      </w:r>
    </w:p>
    <w:p w:rsidR="00F729E8" w:rsidRPr="00BA5386" w:rsidRDefault="00F729E8" w:rsidP="00B7692C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>Das nationale Steuergesetz unter der umfassenden Kontrolle des unionsrechtlichen Beihilferechts? (GmbHR 2019, 390 – 397)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Nachträglicher Vorsteuerabzug trotz anfänglicher hoheitlicher Nutzung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DStZ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2018, S. 932 – 940)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Zusammenspiel von Steuerrecht und Zivilrecht am Beispiel einer indirekten Steuer wie der Umsatzsteuer im Rahmen der Rückabwicklung von sog. § 13b-Fällen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2018, S. 778 – 786)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Gesetzlich angeordnete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Aufwendungsersatzzaahlungen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abgemahnter Unternehmer als Entgelt für eine Leistung des Abmahnenden? (UR 2017, S. 901 - 907)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Die umsatzsteuerrechtliche Beurteilung des „Verkaufs von Kapitallebensversicherungen“ auf dem Zweitmarkt durch einen Unternehmer (UR 2016, S. 937 – 945)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Vertrauensschutz aufgrund von Verwaltungsvorschriften im Steuerrecht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2016, S. 4 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Konkreter Reformvorschlag zur finanzverfassungsrechtlich folgerichtigen Vermeidung einer Umsatzsteuerdefinitivbelastung hoheitlicher Tätigkeiten (zusammen mit Prof. Dr. Marc Desens –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ZögU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2016, Beiheft 46, S. 141 – 163)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Umsatzsteuer als Strafsteuer (zusammen mit RA Dr. Daniel Kaiser –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PStR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2015, S. 265 – 269)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Das Entgelt als Bemessungsgrundlage im Umsatzsteuerrecht – Dogmatische Grundlagen (UR 2015, S. 213 – 223)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Die umsatzsteuerrechtliche Behandlung von Transaktionsentgelten und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Handlingfees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im Strom- und Gashandel (zusammen mit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RAin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/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StBin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Sindy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Krumbholz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– BB 2014, S. 1431 – 1436)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Umgang mit „betrugsbehafteten Umsätzen“ im Umsatzsteuerrecht - zu den aktuellen Versuchen der Finanzverwaltung, das Umsatzsteueraufkommen nach einem Betrugsfall nicht nur zu sichern, sondern zu vervielfachen (UR 2014, S. 256 – 264)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Rückwirkende Rechnungsberichtigung oder auflösend bedingter Vorsteuervergütungsanspruch nach § 15 UStG? (BB 2014, S. 343 – 346)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Umsatzsteuerrechtliche Behandlung der Abrechnung der Mehr- und Mindermengen Gas (Leistungsbeziehungen) – Kommentierung des BMF v. 1.7.2014 (BB 2014, 2023 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Zum Vorsteuerabzug bei Kostentragung – Anmerkung zum BFH v. 30.4.2014 – XI R 33/11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553 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Vorsteuerabzug in Betrugsfällen – Feststellung der Steuerhinterziehung von Amts wegen – Aufzeichnungspflichten des Steuerpflichtigen – Anmerkung zum EuGH v. 13.2.2014 – C-18/13 (BB 2014, S. 863 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Vergleich: Leistungsaustausch oder Schadensersatz – Anmerkung zum BFH v. 16.1.2014 – V R 22/13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333 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Zur steuerfreien Ausfuhrlieferung im Rahmen eines Reihengeschäfts – Anmerkung zum FG Münster v. 16.1.2014 – 5 K 3930/10 U (BB 2014, S. 1122 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Erneute Berichtigung der Umsatzsteuer bei nachträglicher Vereinnahmung einer zunächst uneinbringlich gewordenen Forderung – Anmerkung zum BFH v. 2.12.2013 – XI B 5/13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214 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t>Sollbesteuerung und Steuerberichtigung – Anmerkung zum BFH v. 24.10.2013 – V R 31/12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168 ff.)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Umsatzsteuerpflicht der Verwaltung fremder Wertpapiere in Gestalt der Portfolioverwaltung (ZBB 2013, S. 341 - 350)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Missbrauch der umsatzsteuerrechtlichen Organschaft bei Kooperationen im Gesundheitswesen?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2013, S. 294 - 300)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Umsatzsteuerdefinitivbelastung bei Körperschaften des öffentlichen Rechts – Wirkungen – Verfassungsrechtliche Würdigung – Reformvorschläge (zusammen mit Prof. Dr. Marc Desens –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StuW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2012, S. 225 – 241)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Die „Einschaltung“ der Depotbank bei der Erstattung der Kapitalertragsteuer im Investmentsteuerrecht (zusammen mit Prof. Dr. Marc Desens – FR 2012, S. 605 – 616)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Umsatzsteuerrechtliche Risiken im grenzüberschreitenden Stromhandel (UR 2012, S. 584 – 591)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Voraussetzungen und Rechtsfolgen eines Widerspruchs zu einer Gutschrift - Gebot einer verfassungskonformen teleologischen Reduktion des § 14 Abs. 2 Satz 3 UStG (UR 2012, S. 497 – 505)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Umsatzsteuerrechtlichen Geschäftsveräußerung im Ganzen bei Erwerb eines vermieteten Grundstücks im Rahmen einer Zwangsversteigerung? (UVR 2012, 361)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Rücknahmepflicht unionsrechtswidriger Steuerbescheide trotz fehlender (höchstpersönlicher) Ausschöpfung aller Rechtsmittel</w:t>
      </w: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 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– zur Übertragung der Kühne und Heitz-Kriterien des EuGH in das Steuerrecht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DStZ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 2011, 832)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Zur Vermeidung einer Doppelbesteuerung der Destinatäre bei der Auflösung einer Stiftung mit Einkommen- und Schenkungsteuer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DStZ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2011, 710 - zusammen mit Prof. Dr. Marc Desens)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Zum unterschiedlichen Umgang mit der Bestandskraft unionsrechtswidriger Verwaltungsakte – ein Beitrag zur Dogmatisierung des unionsrechtlich beeinflussten Verwaltungsrechts (Tagungsband der 51. Assistententagung Öffentliches Recht, Baden-Baden 2011, S. 101 - 120)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Vorsteuerabzug aufgrund von Leistungen und Rechnungen einer „erloschenen Gesellschaft bürgerlichen Rechts“ -- Zur Angabe des alten Namens der Gesellschaft bürgerlichen Rechts in der Rechnung trotz Ausscheidens des vorletzten Gesellschafters (UR 2011, 531)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Die verfassungsrechtliche Alleinentscheidungsbefugnis der Finanzbehörden im Verhältnis zu den Zivil- und Verwaltungsgerichten bei indirekten Verbrauchsteuern (Archiv öffentlichen Rechts, Bd. 135 [2010], 573)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Zur Zustandsverantwortlichkeit des Eigentümers im Gefahrenabwehrrecht - Maßgeblichkeit des (formellen) zivilrechtlichen Eigentums im Polizeirecht? (Die Verwaltung, Bd. 43 [2010], 522)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Verstoß gegen den Neutralitätsgrundsatz durch rechtsformabhängige Subventionen im Anwendungsbereich von EG-Richtlinien?</w:t>
      </w: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 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– zum Gleichbehandlungsgebot, Rechtfertigungen und dem Umgang mit rechtsformabhängigen Subventionen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EuR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2010, 309)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Effektiver Rechtsschutz vor Sozialgerichten bei Umsatzsteuerfragen am Beispiel des umstrittenen Steuersatzes für die Lieferung von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Sondennahrung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(NZS 2010, 139)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Begriff der juristischen Person im Rahmen der umsatzsteuerrechtlichen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Organschaftsregelungen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aus verfassungsrechtlicher Sicht (UR 2010, 207)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Erweiterte Maßgeblichkeit der Handelsbilanz im Steuerrecht? – zur Neufassung des § 5 Abs. 1 EStG durch das Gesetz zur Modernisierung des Bilanzrechts (BilMoG) (FR 2010, 163)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Sozialgerichte und der Umgang mit der Umsatzsteuerschuld sachverständiger Zeugen </w:t>
      </w: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(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NZS 2009, 417)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Der gemeinschafts- und verfassungsrechtliche Gleichheitsgrundsatz bei Subventionen im Rahmen der Durchschnittssatzbesteuerung des § 24 UStG (UR 2009, 73)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 im Rahmen der Vergütung oder Entschädigung nach dem JVEG (UR 2008, 569)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Die Missachtung des parlamentarischen Gesetzgebers durch die Fachgerichte unter dem Deckmantel des Anwendungsvorrangs europäischen Rechts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NVwZ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2008, 36)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Zum Anwendungsvorrang von EG-Richtlinien im Zivilrecht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EuZW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2007, 268)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Verschaffung der Verfügungsmacht im Umsatzsteuerrecht (UR 2007, 757)</w:t>
      </w:r>
    </w:p>
    <w:p w:rsidR="00F729E8" w:rsidRPr="00F729E8" w:rsidRDefault="00F729E8" w:rsidP="00F729E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Umsatzsteuerrechtliche Behandlung einer Wertminderungsentschädigung (UR 2006, 614)</w:t>
      </w:r>
    </w:p>
    <w:p w:rsidR="00F729E8" w:rsidRPr="00F729E8" w:rsidRDefault="00F729E8" w:rsidP="00F729E8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Beiträge in Ausbildungszeitschriften</w:t>
      </w:r>
    </w:p>
    <w:p w:rsidR="00F729E8" w:rsidRPr="00F729E8" w:rsidRDefault="00F729E8" w:rsidP="00F729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Polizeirechtliche Klausur aus dem Staatsexamen 2010 – I/4 (abgedruckt in den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SächsVBl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2012, S. 296 und S. 317 ff.)</w:t>
      </w:r>
    </w:p>
    <w:p w:rsidR="00F729E8" w:rsidRPr="00F729E8" w:rsidRDefault="00F729E8" w:rsidP="00F729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Beschwerdefähigkeit und Beschwerdebefugnis - zum Prüfungsort des Art. 19 III GG bei der Prüfung der Zulässigkeit einer Verfassungsbeschwerde (JA 2010, 346)</w:t>
      </w:r>
    </w:p>
    <w:p w:rsidR="00F729E8" w:rsidRPr="00F729E8" w:rsidRDefault="00F729E8" w:rsidP="00F729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Der Computerhändler und die Umsatzsteuer (Jura 2006, 937)</w:t>
      </w:r>
    </w:p>
    <w:p w:rsidR="00F729E8" w:rsidRPr="00F729E8" w:rsidRDefault="00F729E8" w:rsidP="00F729E8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lastRenderedPageBreak/>
        <w:t>Urteilsanmerkungen</w:t>
      </w:r>
    </w:p>
    <w:p w:rsidR="00BA5386" w:rsidRPr="00BA5386" w:rsidRDefault="00BA5386" w:rsidP="00BA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Steuerschuld des Leistungsempfängers bei mehreren Entgeltschuldnern – Anm. zum BFH, Urt. v. 10.12.2020 – V R 7/20,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MwStR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 2021, S. 580–581</w:t>
      </w:r>
    </w:p>
    <w:p w:rsidR="00BA5386" w:rsidRPr="00BA5386" w:rsidRDefault="00BA5386" w:rsidP="00BA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Wegfall der Zweckbetriebseigenschaft einer Forschungseinrichtung infolge wirtschaftlicher Tätigkeit durch Beteiligungsveräußerung – Anm. zum BFH, Urt. v. 10.12.2020 – V R 5/20,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MwStR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 2021, S. 336–338</w:t>
      </w:r>
    </w:p>
    <w:p w:rsidR="00BA5386" w:rsidRPr="00BA5386" w:rsidRDefault="00BA5386" w:rsidP="00BA53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Rückwirkende Rechnungsberichtigung in den Fällen des § 13b UStG – Anm. zum FG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Nds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., Urt. v. 17.9.2020 – 11 K 323/19,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MwStR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 2021, S. 46–48</w:t>
      </w:r>
    </w:p>
    <w:p w:rsidR="00F729E8" w:rsidRPr="00BA5386" w:rsidRDefault="00F729E8" w:rsidP="002A6CFA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BA5386">
        <w:rPr>
          <w:rFonts w:ascii="Verdana" w:eastAsia="Times New Roman" w:hAnsi="Verdana" w:cs="Times New Roman"/>
          <w:sz w:val="18"/>
          <w:szCs w:val="18"/>
          <w:lang w:eastAsia="de-DE"/>
        </w:rPr>
        <w:t>Auch im Verhältnis zur Schweiz gibt es keine Wegzugsbesteuerung ohne Stundungsmöglichkeit, wenn im Inland erst bei Realisierung der stillen Reserven besteuert wird – Anmerkung zum EuGH, Urt. v. 26.2.2019 – C-581/17, ECLI:EU:C:2019:138 – Wächtler (ISR 2019, S. 436)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Keine Prüfungskompetenz der nationalen Gerichte hinsichtlich der Grundfreiheiten, wenn eine (mögliche) Beihilferegelung vorliegt – Anmerkung zum EuGH, Urt. v. 2.5.2019 – C-598/17, ECLI:EU:C:2019:352 – A-Fonds (ISR 2019, S.395)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Zur (zweifachen) Berichtigung der Umsatzsteuer bei und nach der Bestellung eins sog. starken vorläufigen Insolvenzverwalters – Anmerkung zum BFH, Urt. v. 1.3.2016 – XI R 21/14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2016, S. 724)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Aussetzung der Vollziehung in Bauträgerfällen – Anmerkung zum BFH, Beschl. v. 27.1.2016 – V B 87/15 (UR 2016, S. 287)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Änderung bestandskräftiger Steuerbescheide aufgrund geänderter Rechtsauffassung der Finanzverwaltung – Anmerkung zum Niedersächsischen Finanzgericht, Urt. v. 29.10.2015 – 5 K 80/15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2016, S. 172)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Vorsteuerabzug einer Holding und Unionsrechtskonformität der deutschen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Organschaftsregelungen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– Anmerkung zum EuGH, Urt. v. 16.7.2015 – C 108/14 u. C 109/14 – „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Larentia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+ Minerva“ und „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Marenave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“ (UR 2015, S. 671)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Keine Geschäftsveräußerung im Ganzen bei Veräußerung von Teilen des Inventars einer Gaststätte – Anmerkung zum BFH v. 4.2.2015 - XI R 42/13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2015, S. 131)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Versagung des Rechts auf Vorsteuerabzug bei Mehrwertsteuerhinterziehung – Anmerkung zum EuGH v. 18.12.2014 – C-131/13, C-163/13, C-164/13 (BB 2015,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 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S.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 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549)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Überlassung von Geschäftsführerwohnungen mit Einrichtung – Anmerkung zum BFH v. 8.10.2014 – V R 56/13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2015, S. 131)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Umsatzsteuerrechtliche Behandlung der Abrechnung der Mehr- und Mindermengen Gas (Leistungsbeziehungen) – Kommentierung des BMF v. 1.7.2014 (BB 2014, S. 2023)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Zum Vorsteuerabzug bei Kostentragung – Anmerkung zum BFH v. 30.4.2014 – XI R 33/11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553)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Vorsteuerabzug in Betrugsfällen – Feststellung der Steuerhinterziehung von Amts wegen – Aufzeichnungspflichten des Steuerpflichtigen – Anmerkung zum EuGH v. 13.2.2014 – C-18/13 (BB 2014, S. 863)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Vergleich: Leistungsaustausch oder Schadensersatz – Anmerkung zum BFH v. 16.1.2014 – V R 22/13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333)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Zur steuerfreien Ausfuhrlieferung im Rahmen eines Reihengeschäfts –Anmerkung zum FG Münster v. 16.1.2014 – 5 K 3930/10 U (BB 2014, S. 1122)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Erneute Berichtigung der Umsatzsteuer bei nachträglicher Vereinnahmung einer zunächst uneinbringlich gewordenen Forderung – Anmerkung zum BFH v. 2.12.2013 – XI B 5/13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214)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Sollbesteuerung und Steuerberichtigung – Anmerkung zum BFH v. 24.10.2013 – V R 31/12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2014, S. 168)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Anmerkung zum BFH v. 24.4.2013 – XI R 25/10 (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2013, S. 676)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Gleichheitssatzwidrige Mehrfachbelastung künftiger Bauerrichtungskosten mit Grunderwerbsteuer und Umsatzsteuer – Anm. zu FG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Nds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., Urt. v. 20.3.2013 – 7 K 223/10 u.a.,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2013, S. 648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Vorsteuerabzug aus Vorleistungen, die in keinem direkten und unmittelbaren Zusammenhang zu einem oder mehreren Ausgangsumsätzen stehen – Anm. zu BFH, Urt. v. 24.4.2013 – XI R 25/10,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MwStR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2013, S. 676 - 677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Anmerkung zum BFH v. 19.10.2010 – V B 103/09 (UR 2011, 341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Anmerkung zum BSG v. 2.10.2008 – B 9 SB 7/07 R (UR 2009, 134)</w:t>
      </w:r>
    </w:p>
    <w:p w:rsidR="00F729E8" w:rsidRPr="00F729E8" w:rsidRDefault="00F729E8" w:rsidP="00F729E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Anmerkung zum BFH v. 7.7.2005 – V R 34/03 (UR 2005, 665)</w:t>
      </w:r>
    </w:p>
    <w:p w:rsidR="00F729E8" w:rsidRPr="00F729E8" w:rsidRDefault="00F729E8" w:rsidP="00F729E8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Kommentierungen/Sammelwerke</w:t>
      </w:r>
    </w:p>
    <w:p w:rsidR="00BA5386" w:rsidRPr="00BA5386" w:rsidRDefault="00BA5386" w:rsidP="00BA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Kommentierung des § 17 EStG in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Lademann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, Einkommensteuergesetz, Kommentar, Richard-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Boorberg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-Verlag, Loseblatt, teilweise u.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berarbeitet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 mit der 263. Ergänzungslieferung, Juli 2021, 30 Seiten</w:t>
      </w:r>
    </w:p>
    <w:p w:rsidR="00BA5386" w:rsidRPr="00BA5386" w:rsidRDefault="00BA5386" w:rsidP="00BA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lastRenderedPageBreak/>
        <w:t xml:space="preserve">Kommentierung des § 1a KStG in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Lademann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, Körperschaftsteuergesetz, Kommentar, Richard-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Boorberg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-Verlag, Loseblatt, Erstkommentierung mit der 78. Ergänzungslieferung, </w:t>
      </w:r>
      <w:bookmarkStart w:id="0" w:name="_GoBack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August 2021, 80 Seiten</w:t>
      </w:r>
    </w:p>
    <w:bookmarkEnd w:id="0"/>
    <w:p w:rsidR="00BA5386" w:rsidRPr="00BA5386" w:rsidRDefault="00BA5386" w:rsidP="00BA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Kommentierung des § 7 UmwStG in Widmann/Bauschatz (Hrsg.), Umwandlungssteuergesetz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eKommentar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, Stollfuß-Verlag, Bonn, Aktualisierung vom 13.8.2021 und Aktualisierung vom 25.10.2021,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Rz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. 1–54</w:t>
      </w:r>
    </w:p>
    <w:p w:rsidR="00BA5386" w:rsidRPr="00BA5386" w:rsidRDefault="00BA5386" w:rsidP="00BA53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18"/>
          <w:szCs w:val="24"/>
          <w:lang w:eastAsia="de-DE"/>
        </w:rPr>
      </w:pPr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Kommentierung des § 6 UmwStG in Widmann/Bauschatz (Hrsg.), Umwandlungssteuergesetz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eKommentar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 xml:space="preserve">, Stollfuß-Verlag, Bonn, Aktualisierung vom 25.10.2021, </w:t>
      </w:r>
      <w:proofErr w:type="spellStart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Rz</w:t>
      </w:r>
      <w:proofErr w:type="spellEnd"/>
      <w:r w:rsidRPr="00BA5386">
        <w:rPr>
          <w:rFonts w:ascii="Verdana" w:eastAsia="Times New Roman" w:hAnsi="Verdana" w:cs="Arial"/>
          <w:sz w:val="18"/>
          <w:szCs w:val="24"/>
          <w:lang w:eastAsia="de-DE"/>
        </w:rPr>
        <w:t>. 1–59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Mitautor in der Festschrift für Jürgen Lüdicke, Dr. Otto Schmidt Verlag, Köln, (2019) mit dem Titel: "Abzugsfähige finale Verluste im Sinne der Marks &amp; Spencer Rechtsprechung des EuGH – kann es die überhaupt geben?" – ca. 20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Beitrag im Tagungsband zum Kammerrechtstag in Kassel 2018 mit dem Titel „Grundlagen der Besteuerung der öffentlichen Hand im Mehrwertsteuerrecht“, (2019) im Erscheinen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Beitrag im Tagungsband zum HERCULE Workshop in Oradea mit dem Titel „The European Court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of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Justice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and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the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fight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against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VAT-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fraud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”, Verlag Wolters Kluwer, (2019) im Erscheinen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Beitrag im Tagungsband der ERA FORUM 2019 – Journal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of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the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Academy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of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European Law mit dem Titel „Die Begriffe Selektivität und Vorteil bei Steuerbeihilfen unter Berücksichtigung der jüngsten Rechtsprechung“, Springer Verlag, (2019) – ca. 10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des § 4 Nr. 17 UStG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Rau/Dürrwächter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, UStG-Kommentar, Dr. Otto Schmidt Verlag, Köln, (2018) – ca. 35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Mitautor im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Myßen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/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Strohner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, Arbeitgeber-Handbuch Lohnsteuer, im C.H.Beck-Verlag, München, 2018 (im Erscheinen) – ca. 35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Mitautor in der Festschrift des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UmsatzsteuerForum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e.V./Bundesministerium der Finanzen, 100 Jahre Umsatzsteuer in Deutschland, Dr. Otto Schmidt Verlag, Köln, (2018) – ca. 30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Mitautor im 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Mössner</w:t>
      </w:r>
      <w:proofErr w:type="spellEnd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 xml:space="preserve"> u.a.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, Steuerrecht international tätiger Unternehmen, Handbuch der Besteuerung von Auslandsaktivitäten inländischer Unternehmen und von Inlandsaktivitäten ausländischer Unternehmen; 5. Auflage 2018, Seite 1265 – 1439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der §§ 39, 39a, 39b, 39c, 39e, 39f EStG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Kirchhof/Söhn/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Mellinghoff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EStG-Kommentar, C. F. Müller Verlag, Heidelberg (282.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September 2017) – ca. 100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des § 42d EStG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Kirchhof/Söhn/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Mellinghoff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EStG-Kommentar, C. F. Müller Verlag, Heidelberg (280.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Juni 2017) – ca. 50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der §§ 38a, 38b EStG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Kirchhof/Söhn/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Mellinghoff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EStG-Kommentar, C. F. Müller Verlag, Heidelberg (280.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Juni 2017) – ca. 30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Mitwirkung an dem Handbuch 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Hidien</w:t>
      </w:r>
      <w:proofErr w:type="spellEnd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/Jürgens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 (Hrsg.) „Besteuerung der öffentlichen Hand“ im C.H.Beck-Verlag, München, 2017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des § 41, § 41a, § 41b, § 41c EStG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Kirchhof/Söhn/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Mellinghoff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EStG-Kommentar, C. F. Müller Verlag, Heidelberg (269.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Juni 2016) – ca. 50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„Vor §§ 249 – 346 AO“ im 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Hübschmann</w:t>
      </w:r>
      <w:proofErr w:type="spellEnd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/Hepp/Spitaler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AO/FGO-Kommentar, Dr. Otto Schmidt Verlag, Köln (237.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Mai 2016) –  ca. 35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des § 46 EStG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Kirchhof/Söhn/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Mellinghoff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EStG-Kommentar, C. F. Müller Verlag, Heidelberg (267.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April 2016) – ca. 50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des § 42b, § 42e, § 42f, § 42g EStG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Kirchhof/Söhn/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Mellinghoff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, EStG-Kommentar, C. F. Müller Verlag, Heidelberg (267.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April 2016) – insgesamt ca. 60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Mitautor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Achatz/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Tumpel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 (Hrsg.), Die Bemessungsgrundlage der Umsatzsteuer, Wien 2015, Seite 1 – 28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Mitwirkung an einem Handbuch für das von der Bosch-Stiftung geförderte Forschungsprojekt „Umsatzsteuerrecht für den Dritten Sektor“ unter Federführung von Frau Prof. Weitemeyer (Bucerius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Lawschool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) - im Erscheinen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Kommentierung des EStG (auszugsweise: §§ 8, 19, 24, 34, 37b, 38 - 42d EStG), in Kommentar zum gesamten Arbeitsrecht, 3 Bände, 1. Auflage, Nomos Verlag, Baden-Baden 2014/2015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Kommentierung des § 12 Abs. 2 Nr. 12 und Nr. 13 UStG in Rau/Dürrwächter, UStG-Kommentar, Dr. Otto Schmidt Verlag, Köln, (160.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Dezember 2014) – ca. 100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Vorabkommentierung des § 12 Abs. 2 Nr. 1/2 UStG in Rau/Dürrwächter, UStG-Kommentar, Dr. Otto Schmidt Verlag, Köln, (158.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April 2014) –  10 Seiten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Mitautor im 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Mössner</w:t>
      </w:r>
      <w:proofErr w:type="spellEnd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 xml:space="preserve"> u.a.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, Steuerrecht international tätiger Unternehmen, Handbuch der Besteuerung von Auslandsaktivitäten inländischer Unternehmen und von Inlandsaktivitäten ausländischer Unternehmen; 4. Auflage 2012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Mitautor im </w:t>
      </w:r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Debus/Krise/Peters/Seifert/</w:t>
      </w:r>
      <w:proofErr w:type="spellStart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Sicko</w:t>
      </w:r>
      <w:proofErr w:type="spellEnd"/>
      <w:r w:rsidRPr="00F729E8">
        <w:rPr>
          <w:rFonts w:ascii="Verdana" w:eastAsia="Times New Roman" w:hAnsi="Verdana" w:cs="Times New Roman"/>
          <w:i/>
          <w:iCs/>
          <w:sz w:val="18"/>
          <w:szCs w:val="18"/>
          <w:lang w:eastAsia="de-DE"/>
        </w:rPr>
        <w:t>/Stirn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 (Hrsg.), Verwaltungsrechtsraum Europa, Tagungsband der 51. Assistententagung Öffentliches Recht, Baden-Baden 2011, S. </w:t>
      </w: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lastRenderedPageBreak/>
        <w:t>101 – 120: „Zum unterschiedlichen Umgang mit der Bestandskraft unionsrechtswidriger Verwaltungsakte – ein Beitrag zur Dogmatisierung des unionsrechtlich beeinflussten Verwaltungsrecht“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Kommentierung des § 4 Nr. 7 UStG im Rau/Dürrwächter, UStG-Kommentar, Dr. Otto Schmidt Verlag, Köln (150.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Juni 2012)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Kommentierung des § 12 Abs. 2 Nr. 8 UStG im Rau/Dürrwächter, UStG-Kommentar, Dr. Otto Schmidt Verlag, Köln (145.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Februar 2011)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Kommentierung des § 4 Nr. 13 UStG im Rau/Dürrwächter, UStG-Kommentar, Dr. Otto Schmidt Verlag, Köln (141.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März 2010)</w:t>
      </w:r>
    </w:p>
    <w:p w:rsidR="00F729E8" w:rsidRPr="00F729E8" w:rsidRDefault="00F729E8" w:rsidP="00F729E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Kommentierung des § 26 UStG in Rau/Dürrwächter, UStG-Kommentar, Dr. Otto Schmidt Verlag, Köln, (138.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Lfg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Juni 2009)</w:t>
      </w:r>
    </w:p>
    <w:p w:rsidR="00F729E8" w:rsidRPr="00F729E8" w:rsidRDefault="00F729E8" w:rsidP="00F729E8">
      <w:pPr>
        <w:spacing w:before="120" w:after="120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b/>
          <w:bCs/>
          <w:sz w:val="18"/>
          <w:szCs w:val="18"/>
          <w:lang w:eastAsia="de-DE"/>
        </w:rPr>
        <w:t>Sonstiges</w:t>
      </w:r>
    </w:p>
    <w:p w:rsidR="00F729E8" w:rsidRPr="00F729E8" w:rsidRDefault="00F729E8" w:rsidP="00F729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Laudatio zum 65. Geburtstag von Prof. Dr. Holger Stadie (zusammen mit PD Dr. Bernhard Frye – UR 2010, S. 197)</w:t>
      </w:r>
    </w:p>
    <w:p w:rsidR="00F729E8" w:rsidRPr="00F729E8" w:rsidRDefault="00F729E8" w:rsidP="00F729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Rezension von Kummer, Nichtzulassungsbeschwerde, 2. Aufl. 2010 (NZS 2010)</w:t>
      </w:r>
    </w:p>
    <w:p w:rsidR="00F729E8" w:rsidRPr="00F729E8" w:rsidRDefault="00F729E8" w:rsidP="00F729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Rezension von Streinz, Europarecht, 8. Aufl. 2008 (ZJS 2010, S. 138)</w:t>
      </w:r>
    </w:p>
    <w:p w:rsidR="00F729E8" w:rsidRPr="00F729E8" w:rsidRDefault="00F729E8" w:rsidP="00F729E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Tagungsbericht über die 48. Assistententagung Öffentliches Recht in Heidelberg 2008 (zusammen mit Dr. Christoph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Labrenz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- </w:t>
      </w:r>
      <w:proofErr w:type="spellStart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SächsVBl</w:t>
      </w:r>
      <w:proofErr w:type="spellEnd"/>
      <w:r w:rsidRPr="00F729E8">
        <w:rPr>
          <w:rFonts w:ascii="Verdana" w:eastAsia="Times New Roman" w:hAnsi="Verdana" w:cs="Times New Roman"/>
          <w:sz w:val="18"/>
          <w:szCs w:val="18"/>
          <w:lang w:eastAsia="de-DE"/>
        </w:rPr>
        <w:t>. 2008, Heft 10)</w:t>
      </w:r>
    </w:p>
    <w:p w:rsidR="00ED5833" w:rsidRPr="00F729E8" w:rsidRDefault="00BA5386"/>
    <w:sectPr w:rsidR="00ED5833" w:rsidRPr="00F72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36D7"/>
    <w:multiLevelType w:val="multilevel"/>
    <w:tmpl w:val="387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3282"/>
    <w:multiLevelType w:val="multilevel"/>
    <w:tmpl w:val="DBCA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80D23"/>
    <w:multiLevelType w:val="multilevel"/>
    <w:tmpl w:val="491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959AE"/>
    <w:multiLevelType w:val="multilevel"/>
    <w:tmpl w:val="807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8242C"/>
    <w:multiLevelType w:val="multilevel"/>
    <w:tmpl w:val="B59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038F3"/>
    <w:multiLevelType w:val="multilevel"/>
    <w:tmpl w:val="0A18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C0334"/>
    <w:multiLevelType w:val="multilevel"/>
    <w:tmpl w:val="1E7A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46E8E"/>
    <w:multiLevelType w:val="multilevel"/>
    <w:tmpl w:val="0188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F13C8"/>
    <w:multiLevelType w:val="multilevel"/>
    <w:tmpl w:val="1600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D325C"/>
    <w:multiLevelType w:val="multilevel"/>
    <w:tmpl w:val="5FB0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564E2E"/>
    <w:multiLevelType w:val="multilevel"/>
    <w:tmpl w:val="253CD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8E0CF6"/>
    <w:multiLevelType w:val="multilevel"/>
    <w:tmpl w:val="BE6E3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CA5375"/>
    <w:multiLevelType w:val="multilevel"/>
    <w:tmpl w:val="E6FA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4C16D1"/>
    <w:multiLevelType w:val="multilevel"/>
    <w:tmpl w:val="211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052C5"/>
    <w:multiLevelType w:val="multilevel"/>
    <w:tmpl w:val="181C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D4995"/>
    <w:multiLevelType w:val="multilevel"/>
    <w:tmpl w:val="59C09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12"/>
  </w:num>
  <w:num w:numId="10">
    <w:abstractNumId w:val="15"/>
  </w:num>
  <w:num w:numId="11">
    <w:abstractNumId w:val="10"/>
  </w:num>
  <w:num w:numId="12">
    <w:abstractNumId w:val="3"/>
  </w:num>
  <w:num w:numId="13">
    <w:abstractNumId w:val="4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E8"/>
    <w:rsid w:val="005D4395"/>
    <w:rsid w:val="00B7067B"/>
    <w:rsid w:val="00BA5386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C037-5CA0-4BEF-9E1C-FF51B773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F72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29E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F729E8"/>
    <w:rPr>
      <w:i/>
      <w:iCs/>
    </w:rPr>
  </w:style>
  <w:style w:type="character" w:styleId="Fett">
    <w:name w:val="Strong"/>
    <w:basedOn w:val="Absatz-Standardschriftart"/>
    <w:uiPriority w:val="22"/>
    <w:qFormat/>
    <w:rsid w:val="00F729E8"/>
    <w:rPr>
      <w:b/>
      <w:bCs/>
    </w:rPr>
  </w:style>
  <w:style w:type="paragraph" w:styleId="Listenabsatz">
    <w:name w:val="List Paragraph"/>
    <w:basedOn w:val="Standard"/>
    <w:uiPriority w:val="34"/>
    <w:qFormat/>
    <w:rsid w:val="00BA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2422</Words>
  <Characters>15264</Characters>
  <Application>Microsoft Office Word</Application>
  <DocSecurity>0</DocSecurity>
  <Lines>127</Lines>
  <Paragraphs>35</Paragraphs>
  <ScaleCrop>false</ScaleCrop>
  <Company/>
  <LinksUpToDate>false</LinksUpToDate>
  <CharactersWithSpaces>17651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ms993585</dc:creator>
  <cp:keywords/>
  <dc:description/>
  <cp:lastModifiedBy>HP-Computer</cp:lastModifiedBy>
  <cp:revision>2</cp:revision>
  <dcterms:created xsi:type="dcterms:W3CDTF">2020-05-15T07:35:00Z</dcterms:created>
  <dcterms:modified xsi:type="dcterms:W3CDTF">2022-03-18T10:40:00Z</dcterms:modified>
</cp:coreProperties>
</file>